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E731D6" w14:textId="3D23E183" w:rsidR="002676F8" w:rsidRDefault="008D0A45" w:rsidP="002676F8">
      <w:pPr>
        <w:pStyle w:val="Overskrift1"/>
        <w:jc w:val="both"/>
      </w:pPr>
      <w:bookmarkStart w:id="0" w:name="_Toc107313865"/>
      <w:bookmarkStart w:id="1" w:name="_Toc115355323"/>
      <w:r>
        <w:t xml:space="preserve">Notat omkring PtX i </w:t>
      </w:r>
      <w:r w:rsidR="002676F8">
        <w:t>Hjørring Kommune.</w:t>
      </w:r>
      <w:bookmarkEnd w:id="0"/>
      <w:bookmarkEnd w:id="1"/>
    </w:p>
    <w:p w14:paraId="2C7EC1E0" w14:textId="06A80D2F" w:rsidR="002676F8" w:rsidRDefault="002676F8" w:rsidP="002676F8">
      <w:pPr>
        <w:jc w:val="both"/>
      </w:pPr>
    </w:p>
    <w:sdt>
      <w:sdtPr>
        <w:rPr>
          <w:rFonts w:asciiTheme="minorHAnsi" w:eastAsiaTheme="minorHAnsi" w:hAnsiTheme="minorHAnsi" w:cstheme="minorBidi"/>
          <w:color w:val="auto"/>
          <w:sz w:val="22"/>
          <w:szCs w:val="22"/>
          <w:lang w:eastAsia="en-US"/>
        </w:rPr>
        <w:id w:val="-2023853909"/>
        <w:docPartObj>
          <w:docPartGallery w:val="Table of Contents"/>
          <w:docPartUnique/>
        </w:docPartObj>
      </w:sdtPr>
      <w:sdtEndPr>
        <w:rPr>
          <w:b/>
          <w:bCs/>
        </w:rPr>
      </w:sdtEndPr>
      <w:sdtContent>
        <w:p w14:paraId="7BD87F25" w14:textId="3497EEC2" w:rsidR="00C57393" w:rsidRDefault="00C57393">
          <w:pPr>
            <w:pStyle w:val="Overskrift"/>
          </w:pPr>
          <w:r>
            <w:t>Indhold</w:t>
          </w:r>
        </w:p>
        <w:p w14:paraId="4C73F6A2" w14:textId="2BCBB520" w:rsidR="00EF6665" w:rsidRDefault="00C57393">
          <w:pPr>
            <w:pStyle w:val="Indholdsfortegnelse1"/>
            <w:tabs>
              <w:tab w:val="right" w:leader="dot" w:pos="9628"/>
            </w:tabs>
            <w:rPr>
              <w:rFonts w:eastAsiaTheme="minorEastAsia"/>
              <w:noProof/>
              <w:lang w:eastAsia="da-DK"/>
            </w:rPr>
          </w:pPr>
          <w:r>
            <w:fldChar w:fldCharType="begin"/>
          </w:r>
          <w:r>
            <w:instrText xml:space="preserve"> TOC \o "1-3" \h \z \u </w:instrText>
          </w:r>
          <w:r>
            <w:fldChar w:fldCharType="separate"/>
          </w:r>
        </w:p>
        <w:p w14:paraId="17C98CB4" w14:textId="54160C5A" w:rsidR="00EF6665" w:rsidRDefault="00EF6665">
          <w:pPr>
            <w:pStyle w:val="Indholdsfortegnelse2"/>
            <w:tabs>
              <w:tab w:val="right" w:leader="dot" w:pos="9628"/>
            </w:tabs>
            <w:rPr>
              <w:rFonts w:eastAsiaTheme="minorEastAsia"/>
              <w:noProof/>
              <w:lang w:eastAsia="da-DK"/>
            </w:rPr>
          </w:pPr>
          <w:hyperlink w:anchor="_Toc115355324" w:history="1">
            <w:r w:rsidRPr="000567B5">
              <w:rPr>
                <w:rStyle w:val="Hyperlink"/>
                <w:noProof/>
              </w:rPr>
              <w:t>Baggrund for notatet</w:t>
            </w:r>
            <w:r>
              <w:rPr>
                <w:noProof/>
                <w:webHidden/>
              </w:rPr>
              <w:tab/>
            </w:r>
            <w:r>
              <w:rPr>
                <w:noProof/>
                <w:webHidden/>
              </w:rPr>
              <w:fldChar w:fldCharType="begin"/>
            </w:r>
            <w:r>
              <w:rPr>
                <w:noProof/>
                <w:webHidden/>
              </w:rPr>
              <w:instrText xml:space="preserve"> PAGEREF _Toc115355324 \h </w:instrText>
            </w:r>
            <w:r>
              <w:rPr>
                <w:noProof/>
                <w:webHidden/>
              </w:rPr>
            </w:r>
            <w:r>
              <w:rPr>
                <w:noProof/>
                <w:webHidden/>
              </w:rPr>
              <w:fldChar w:fldCharType="separate"/>
            </w:r>
            <w:r>
              <w:rPr>
                <w:noProof/>
                <w:webHidden/>
              </w:rPr>
              <w:t>1</w:t>
            </w:r>
            <w:r>
              <w:rPr>
                <w:noProof/>
                <w:webHidden/>
              </w:rPr>
              <w:fldChar w:fldCharType="end"/>
            </w:r>
          </w:hyperlink>
        </w:p>
        <w:p w14:paraId="2A27A5CA" w14:textId="3B26CC1C" w:rsidR="00EF6665" w:rsidRDefault="00EF6665">
          <w:pPr>
            <w:pStyle w:val="Indholdsfortegnelse2"/>
            <w:tabs>
              <w:tab w:val="right" w:leader="dot" w:pos="9628"/>
            </w:tabs>
            <w:rPr>
              <w:rFonts w:eastAsiaTheme="minorEastAsia"/>
              <w:noProof/>
              <w:lang w:eastAsia="da-DK"/>
            </w:rPr>
          </w:pPr>
          <w:hyperlink w:anchor="_Toc115355325" w:history="1">
            <w:r w:rsidRPr="000567B5">
              <w:rPr>
                <w:rStyle w:val="Hyperlink"/>
                <w:noProof/>
              </w:rPr>
              <w:t>Handlingen og målet</w:t>
            </w:r>
            <w:r>
              <w:rPr>
                <w:noProof/>
                <w:webHidden/>
              </w:rPr>
              <w:tab/>
            </w:r>
            <w:r>
              <w:rPr>
                <w:noProof/>
                <w:webHidden/>
              </w:rPr>
              <w:fldChar w:fldCharType="begin"/>
            </w:r>
            <w:r>
              <w:rPr>
                <w:noProof/>
                <w:webHidden/>
              </w:rPr>
              <w:instrText xml:space="preserve"> PAGEREF _Toc115355325 \h </w:instrText>
            </w:r>
            <w:r>
              <w:rPr>
                <w:noProof/>
                <w:webHidden/>
              </w:rPr>
            </w:r>
            <w:r>
              <w:rPr>
                <w:noProof/>
                <w:webHidden/>
              </w:rPr>
              <w:fldChar w:fldCharType="separate"/>
            </w:r>
            <w:r>
              <w:rPr>
                <w:noProof/>
                <w:webHidden/>
              </w:rPr>
              <w:t>1</w:t>
            </w:r>
            <w:r>
              <w:rPr>
                <w:noProof/>
                <w:webHidden/>
              </w:rPr>
              <w:fldChar w:fldCharType="end"/>
            </w:r>
          </w:hyperlink>
        </w:p>
        <w:p w14:paraId="4E100C66" w14:textId="6FC110BE" w:rsidR="00EF6665" w:rsidRDefault="00EF6665">
          <w:pPr>
            <w:pStyle w:val="Indholdsfortegnelse2"/>
            <w:tabs>
              <w:tab w:val="right" w:leader="dot" w:pos="9628"/>
            </w:tabs>
            <w:rPr>
              <w:rFonts w:eastAsiaTheme="minorEastAsia"/>
              <w:noProof/>
              <w:lang w:eastAsia="da-DK"/>
            </w:rPr>
          </w:pPr>
          <w:hyperlink w:anchor="_Toc115355326" w:history="1">
            <w:r w:rsidRPr="000567B5">
              <w:rPr>
                <w:rStyle w:val="Hyperlink"/>
                <w:noProof/>
              </w:rPr>
              <w:t>Tallene bag målet om 100 MW anlæg</w:t>
            </w:r>
            <w:r>
              <w:rPr>
                <w:noProof/>
                <w:webHidden/>
              </w:rPr>
              <w:tab/>
            </w:r>
            <w:r>
              <w:rPr>
                <w:noProof/>
                <w:webHidden/>
              </w:rPr>
              <w:fldChar w:fldCharType="begin"/>
            </w:r>
            <w:r>
              <w:rPr>
                <w:noProof/>
                <w:webHidden/>
              </w:rPr>
              <w:instrText xml:space="preserve"> PAGEREF _Toc115355326 \h </w:instrText>
            </w:r>
            <w:r>
              <w:rPr>
                <w:noProof/>
                <w:webHidden/>
              </w:rPr>
            </w:r>
            <w:r>
              <w:rPr>
                <w:noProof/>
                <w:webHidden/>
              </w:rPr>
              <w:fldChar w:fldCharType="separate"/>
            </w:r>
            <w:r>
              <w:rPr>
                <w:noProof/>
                <w:webHidden/>
              </w:rPr>
              <w:t>2</w:t>
            </w:r>
            <w:r>
              <w:rPr>
                <w:noProof/>
                <w:webHidden/>
              </w:rPr>
              <w:fldChar w:fldCharType="end"/>
            </w:r>
          </w:hyperlink>
        </w:p>
        <w:p w14:paraId="58B892F9" w14:textId="2BB4F49B" w:rsidR="00EF6665" w:rsidRDefault="00EF6665">
          <w:pPr>
            <w:pStyle w:val="Indholdsfortegnelse2"/>
            <w:tabs>
              <w:tab w:val="right" w:leader="dot" w:pos="9628"/>
            </w:tabs>
            <w:rPr>
              <w:rFonts w:eastAsiaTheme="minorEastAsia"/>
              <w:noProof/>
              <w:lang w:eastAsia="da-DK"/>
            </w:rPr>
          </w:pPr>
          <w:hyperlink w:anchor="_Toc115355327" w:history="1">
            <w:r w:rsidRPr="000567B5">
              <w:rPr>
                <w:rStyle w:val="Hyperlink"/>
                <w:noProof/>
              </w:rPr>
              <w:t>Projekterne bag tallene</w:t>
            </w:r>
            <w:r>
              <w:rPr>
                <w:noProof/>
                <w:webHidden/>
              </w:rPr>
              <w:tab/>
            </w:r>
            <w:r>
              <w:rPr>
                <w:noProof/>
                <w:webHidden/>
              </w:rPr>
              <w:fldChar w:fldCharType="begin"/>
            </w:r>
            <w:r>
              <w:rPr>
                <w:noProof/>
                <w:webHidden/>
              </w:rPr>
              <w:instrText xml:space="preserve"> PAGEREF _Toc115355327 \h </w:instrText>
            </w:r>
            <w:r>
              <w:rPr>
                <w:noProof/>
                <w:webHidden/>
              </w:rPr>
            </w:r>
            <w:r>
              <w:rPr>
                <w:noProof/>
                <w:webHidden/>
              </w:rPr>
              <w:fldChar w:fldCharType="separate"/>
            </w:r>
            <w:r>
              <w:rPr>
                <w:noProof/>
                <w:webHidden/>
              </w:rPr>
              <w:t>2</w:t>
            </w:r>
            <w:r>
              <w:rPr>
                <w:noProof/>
                <w:webHidden/>
              </w:rPr>
              <w:fldChar w:fldCharType="end"/>
            </w:r>
          </w:hyperlink>
        </w:p>
        <w:p w14:paraId="3BEB4634" w14:textId="6482516E" w:rsidR="00EF6665" w:rsidRDefault="00EF6665">
          <w:pPr>
            <w:pStyle w:val="Indholdsfortegnelse2"/>
            <w:tabs>
              <w:tab w:val="right" w:leader="dot" w:pos="9628"/>
            </w:tabs>
            <w:rPr>
              <w:rFonts w:eastAsiaTheme="minorEastAsia"/>
              <w:noProof/>
              <w:lang w:eastAsia="da-DK"/>
            </w:rPr>
          </w:pPr>
          <w:hyperlink w:anchor="_Toc115355328" w:history="1">
            <w:r w:rsidRPr="000567B5">
              <w:rPr>
                <w:rStyle w:val="Hyperlink"/>
                <w:noProof/>
              </w:rPr>
              <w:t>Sammenhængene</w:t>
            </w:r>
            <w:r>
              <w:rPr>
                <w:noProof/>
                <w:webHidden/>
              </w:rPr>
              <w:tab/>
            </w:r>
            <w:r>
              <w:rPr>
                <w:noProof/>
                <w:webHidden/>
              </w:rPr>
              <w:fldChar w:fldCharType="begin"/>
            </w:r>
            <w:r>
              <w:rPr>
                <w:noProof/>
                <w:webHidden/>
              </w:rPr>
              <w:instrText xml:space="preserve"> PAGEREF _Toc115355328 \h </w:instrText>
            </w:r>
            <w:r>
              <w:rPr>
                <w:noProof/>
                <w:webHidden/>
              </w:rPr>
            </w:r>
            <w:r>
              <w:rPr>
                <w:noProof/>
                <w:webHidden/>
              </w:rPr>
              <w:fldChar w:fldCharType="separate"/>
            </w:r>
            <w:r>
              <w:rPr>
                <w:noProof/>
                <w:webHidden/>
              </w:rPr>
              <w:t>4</w:t>
            </w:r>
            <w:r>
              <w:rPr>
                <w:noProof/>
                <w:webHidden/>
              </w:rPr>
              <w:fldChar w:fldCharType="end"/>
            </w:r>
          </w:hyperlink>
        </w:p>
        <w:p w14:paraId="3B92B709" w14:textId="4BF11A5F" w:rsidR="00C57393" w:rsidRDefault="00C57393">
          <w:r>
            <w:rPr>
              <w:b/>
              <w:bCs/>
            </w:rPr>
            <w:fldChar w:fldCharType="end"/>
          </w:r>
        </w:p>
      </w:sdtContent>
    </w:sdt>
    <w:p w14:paraId="54BE15A7" w14:textId="47E39F08" w:rsidR="002676F8" w:rsidRDefault="008D0A45" w:rsidP="003F5384">
      <w:pPr>
        <w:pStyle w:val="Overskrift2"/>
      </w:pPr>
      <w:bookmarkStart w:id="2" w:name="_Toc115355324"/>
      <w:r>
        <w:t>Baggrund for notatet</w:t>
      </w:r>
      <w:bookmarkEnd w:id="2"/>
    </w:p>
    <w:p w14:paraId="5E7DB354" w14:textId="4E689B8D" w:rsidR="00EB0F6A" w:rsidRDefault="008D0A45" w:rsidP="008D0A45">
      <w:r>
        <w:t xml:space="preserve">Notatet her er udarbejdet for nærmere at beskrive baggrunden for </w:t>
      </w:r>
      <w:r w:rsidR="00672153">
        <w:t>Power-to-X (</w:t>
      </w:r>
      <w:r w:rsidR="00CB3B45">
        <w:t>PtX</w:t>
      </w:r>
      <w:r w:rsidR="00672153">
        <w:t>)</w:t>
      </w:r>
      <w:r w:rsidR="00CB3B45">
        <w:t xml:space="preserve"> anlæg og </w:t>
      </w:r>
      <w:r w:rsidR="00EB0F6A">
        <w:t>den CO</w:t>
      </w:r>
      <w:r w:rsidR="00EB0F6A" w:rsidRPr="00672153">
        <w:rPr>
          <w:vertAlign w:val="subscript"/>
        </w:rPr>
        <w:t>2</w:t>
      </w:r>
      <w:r w:rsidR="00EB0F6A">
        <w:t xml:space="preserve"> reduktion</w:t>
      </w:r>
      <w:r w:rsidR="00803D6D">
        <w:t>,</w:t>
      </w:r>
      <w:r w:rsidR="00EB0F6A">
        <w:t xml:space="preserve"> som det medfører.</w:t>
      </w:r>
    </w:p>
    <w:p w14:paraId="034E341D" w14:textId="6FA1EBD9" w:rsidR="007270D7" w:rsidRDefault="007270D7" w:rsidP="008D0A45">
      <w:r>
        <w:t>Vi vil beskrive projekter mv</w:t>
      </w:r>
      <w:r w:rsidR="00803D6D">
        <w:t>.</w:t>
      </w:r>
      <w:r>
        <w:t xml:space="preserve"> så lang</w:t>
      </w:r>
      <w:r w:rsidR="00803D6D">
        <w:t>t</w:t>
      </w:r>
      <w:r>
        <w:t xml:space="preserve"> som det er muligt i forhold til GDPR og fortrolighed i forhold til ansøgerne. </w:t>
      </w:r>
    </w:p>
    <w:p w14:paraId="21DC2305" w14:textId="6D4C35B3" w:rsidR="00AA0B93" w:rsidRDefault="00FF04CD" w:rsidP="008D0A45">
      <w:r>
        <w:t xml:space="preserve">Notatet er et øjebliks </w:t>
      </w:r>
      <w:r w:rsidR="004C2A31">
        <w:t>billede</w:t>
      </w:r>
      <w:r w:rsidR="00DE0F48">
        <w:t xml:space="preserve">, </w:t>
      </w:r>
      <w:r>
        <w:t xml:space="preserve">der sker hele tiden nyt og vi oplever at udvikling skaber </w:t>
      </w:r>
      <w:r w:rsidR="00280D28">
        <w:t xml:space="preserve">mere </w:t>
      </w:r>
      <w:r>
        <w:t xml:space="preserve">udvikling og der kommer </w:t>
      </w:r>
      <w:r w:rsidR="00280D28">
        <w:t xml:space="preserve">løbende </w:t>
      </w:r>
      <w:r>
        <w:t xml:space="preserve">flere projekter til. </w:t>
      </w:r>
    </w:p>
    <w:p w14:paraId="0066FB75" w14:textId="3B2B3B6A" w:rsidR="00EB0F6A" w:rsidRDefault="00EB0F6A" w:rsidP="00EB0F6A">
      <w:r>
        <w:t xml:space="preserve">Notatet er udarbejdet på efterspørgsel fra Concito i forbindelse med forhåndsvurderingen af Hjørring Kommunes klimahandlingsplan. </w:t>
      </w:r>
    </w:p>
    <w:p w14:paraId="0B55FC14" w14:textId="7CF11EA1" w:rsidR="002E3CF6" w:rsidRDefault="00B7450E" w:rsidP="002E3CF6">
      <w:pPr>
        <w:pStyle w:val="Overskrift2"/>
      </w:pPr>
      <w:bookmarkStart w:id="3" w:name="_Toc115355325"/>
      <w:r>
        <w:t>Handlingen og målet</w:t>
      </w:r>
      <w:bookmarkEnd w:id="3"/>
    </w:p>
    <w:p w14:paraId="767361B8" w14:textId="0DBB038F" w:rsidR="00CB3B45" w:rsidRDefault="00CB3B45" w:rsidP="00CB3B45">
      <w:r>
        <w:t>Handling nr. 2 under Energi – Hirtshals som knudepunkt.</w:t>
      </w:r>
    </w:p>
    <w:tbl>
      <w:tblPr>
        <w:tblStyle w:val="Listetabel1-lys-farve6"/>
        <w:tblW w:w="0" w:type="auto"/>
        <w:tblLook w:val="04A0" w:firstRow="1" w:lastRow="0" w:firstColumn="1" w:lastColumn="0" w:noHBand="0" w:noVBand="1"/>
      </w:tblPr>
      <w:tblGrid>
        <w:gridCol w:w="2552"/>
        <w:gridCol w:w="7076"/>
      </w:tblGrid>
      <w:tr w:rsidR="00B7450E" w14:paraId="610AA948" w14:textId="77777777" w:rsidTr="0036042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14:paraId="1E98B8F5" w14:textId="51372115" w:rsidR="00B7450E" w:rsidRPr="0036042B" w:rsidRDefault="00B7450E" w:rsidP="002E3CF6">
            <w:pPr>
              <w:rPr>
                <w:b w:val="0"/>
                <w:bCs w:val="0"/>
              </w:rPr>
            </w:pPr>
            <w:r w:rsidRPr="0036042B">
              <w:rPr>
                <w:b w:val="0"/>
                <w:bCs w:val="0"/>
              </w:rPr>
              <w:t>Handlingen</w:t>
            </w:r>
          </w:p>
        </w:tc>
        <w:tc>
          <w:tcPr>
            <w:tcW w:w="7076" w:type="dxa"/>
          </w:tcPr>
          <w:p w14:paraId="63FC4C5E" w14:textId="1198E39F" w:rsidR="00B7450E" w:rsidRPr="0036042B" w:rsidRDefault="00B7450E" w:rsidP="002E3CF6">
            <w:pPr>
              <w:cnfStyle w:val="100000000000" w:firstRow="1" w:lastRow="0" w:firstColumn="0" w:lastColumn="0" w:oddVBand="0" w:evenVBand="0" w:oddHBand="0" w:evenHBand="0" w:firstRowFirstColumn="0" w:firstRowLastColumn="0" w:lastRowFirstColumn="0" w:lastRowLastColumn="0"/>
              <w:rPr>
                <w:b w:val="0"/>
                <w:bCs w:val="0"/>
              </w:rPr>
            </w:pPr>
            <w:proofErr w:type="spellStart"/>
            <w:r w:rsidRPr="0036042B">
              <w:rPr>
                <w:b w:val="0"/>
                <w:bCs w:val="0"/>
              </w:rPr>
              <w:t>P</w:t>
            </w:r>
            <w:r w:rsidR="000F597E">
              <w:rPr>
                <w:b w:val="0"/>
                <w:bCs w:val="0"/>
              </w:rPr>
              <w:t>t</w:t>
            </w:r>
            <w:r w:rsidRPr="0036042B">
              <w:rPr>
                <w:b w:val="0"/>
                <w:bCs w:val="0"/>
              </w:rPr>
              <w:t>X</w:t>
            </w:r>
            <w:proofErr w:type="spellEnd"/>
            <w:r w:rsidRPr="0036042B">
              <w:rPr>
                <w:b w:val="0"/>
                <w:bCs w:val="0"/>
              </w:rPr>
              <w:t xml:space="preserve"> på Hirtshals Havn + biogas og </w:t>
            </w:r>
            <w:proofErr w:type="spellStart"/>
            <w:r w:rsidRPr="0036042B">
              <w:rPr>
                <w:b w:val="0"/>
                <w:bCs w:val="0"/>
              </w:rPr>
              <w:t>P</w:t>
            </w:r>
            <w:r w:rsidR="000F597E">
              <w:rPr>
                <w:b w:val="0"/>
                <w:bCs w:val="0"/>
              </w:rPr>
              <w:t>t</w:t>
            </w:r>
            <w:r w:rsidRPr="0036042B">
              <w:rPr>
                <w:b w:val="0"/>
                <w:bCs w:val="0"/>
              </w:rPr>
              <w:t>X</w:t>
            </w:r>
            <w:proofErr w:type="spellEnd"/>
            <w:r w:rsidRPr="0036042B">
              <w:rPr>
                <w:b w:val="0"/>
                <w:bCs w:val="0"/>
              </w:rPr>
              <w:t xml:space="preserve"> i resten af kommunen</w:t>
            </w:r>
          </w:p>
        </w:tc>
      </w:tr>
      <w:tr w:rsidR="00B7450E" w14:paraId="3FD51ED3" w14:textId="77777777" w:rsidTr="003604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14:paraId="710D2803" w14:textId="20C5A5CC" w:rsidR="00B7450E" w:rsidRPr="0036042B" w:rsidRDefault="00B7450E" w:rsidP="002E3CF6">
            <w:pPr>
              <w:rPr>
                <w:b w:val="0"/>
                <w:bCs w:val="0"/>
              </w:rPr>
            </w:pPr>
            <w:r w:rsidRPr="0036042B">
              <w:rPr>
                <w:b w:val="0"/>
                <w:bCs w:val="0"/>
              </w:rPr>
              <w:t>tiltag</w:t>
            </w:r>
          </w:p>
        </w:tc>
        <w:tc>
          <w:tcPr>
            <w:tcW w:w="7076" w:type="dxa"/>
          </w:tcPr>
          <w:p w14:paraId="20C4FAC5" w14:textId="6F4E83F9" w:rsidR="00B7450E" w:rsidRPr="0036042B" w:rsidRDefault="00B7450E" w:rsidP="002E3CF6">
            <w:pPr>
              <w:cnfStyle w:val="000000100000" w:firstRow="0" w:lastRow="0" w:firstColumn="0" w:lastColumn="0" w:oddVBand="0" w:evenVBand="0" w:oddHBand="1" w:evenHBand="0" w:firstRowFirstColumn="0" w:firstRowLastColumn="0" w:lastRowFirstColumn="0" w:lastRowLastColumn="0"/>
            </w:pPr>
            <w:r w:rsidRPr="0036042B">
              <w:t xml:space="preserve">Hjørring </w:t>
            </w:r>
            <w:r w:rsidR="0036042B" w:rsidRPr="0036042B">
              <w:t>Kommune</w:t>
            </w:r>
            <w:r w:rsidRPr="0036042B">
              <w:t xml:space="preserve"> skal følge projektet og give de </w:t>
            </w:r>
            <w:proofErr w:type="gramStart"/>
            <w:r w:rsidRPr="0036042B">
              <w:t>fornødne</w:t>
            </w:r>
            <w:proofErr w:type="gramEnd"/>
            <w:r w:rsidRPr="0036042B">
              <w:t xml:space="preserve"> tilladelser. Hjørring Kommune skal også indgå i dialogen med borgere</w:t>
            </w:r>
          </w:p>
        </w:tc>
      </w:tr>
      <w:tr w:rsidR="00B7450E" w14:paraId="0ABAC06C" w14:textId="77777777" w:rsidTr="0036042B">
        <w:tc>
          <w:tcPr>
            <w:cnfStyle w:val="001000000000" w:firstRow="0" w:lastRow="0" w:firstColumn="1" w:lastColumn="0" w:oddVBand="0" w:evenVBand="0" w:oddHBand="0" w:evenHBand="0" w:firstRowFirstColumn="0" w:firstRowLastColumn="0" w:lastRowFirstColumn="0" w:lastRowLastColumn="0"/>
            <w:tcW w:w="2552" w:type="dxa"/>
          </w:tcPr>
          <w:p w14:paraId="6E0C5486" w14:textId="7845C506" w:rsidR="00B7450E" w:rsidRPr="0036042B" w:rsidRDefault="00B7450E" w:rsidP="002E3CF6">
            <w:pPr>
              <w:rPr>
                <w:b w:val="0"/>
                <w:bCs w:val="0"/>
              </w:rPr>
            </w:pPr>
            <w:r w:rsidRPr="0036042B">
              <w:rPr>
                <w:b w:val="0"/>
                <w:bCs w:val="0"/>
              </w:rPr>
              <w:t>Uddybende beskrivelse</w:t>
            </w:r>
          </w:p>
        </w:tc>
        <w:tc>
          <w:tcPr>
            <w:tcW w:w="7076" w:type="dxa"/>
          </w:tcPr>
          <w:p w14:paraId="6A138AA5" w14:textId="71C6D32A" w:rsidR="00B7450E" w:rsidRPr="0036042B" w:rsidRDefault="000F597E" w:rsidP="002E3CF6">
            <w:pPr>
              <w:cnfStyle w:val="000000000000" w:firstRow="0" w:lastRow="0" w:firstColumn="0" w:lastColumn="0" w:oddVBand="0" w:evenVBand="0" w:oddHBand="0" w:evenHBand="0" w:firstRowFirstColumn="0" w:firstRowLastColumn="0" w:lastRowFirstColumn="0" w:lastRowLastColumn="0"/>
            </w:pPr>
            <w:r>
              <w:t>D</w:t>
            </w:r>
            <w:r w:rsidR="00B7450E" w:rsidRPr="0036042B">
              <w:t>et handler om det smarte energisystem og minimere udgifter til afgifte</w:t>
            </w:r>
          </w:p>
        </w:tc>
      </w:tr>
      <w:tr w:rsidR="00B7450E" w14:paraId="7203854C" w14:textId="77777777" w:rsidTr="003604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14:paraId="3974B8F7" w14:textId="4F6CC1FB" w:rsidR="00B7450E" w:rsidRPr="0036042B" w:rsidRDefault="00B7450E" w:rsidP="002E3CF6">
            <w:pPr>
              <w:rPr>
                <w:b w:val="0"/>
                <w:bCs w:val="0"/>
              </w:rPr>
            </w:pPr>
            <w:r w:rsidRPr="0036042B">
              <w:rPr>
                <w:b w:val="0"/>
                <w:bCs w:val="0"/>
              </w:rPr>
              <w:t>Mål i 2030</w:t>
            </w:r>
          </w:p>
        </w:tc>
        <w:tc>
          <w:tcPr>
            <w:tcW w:w="7076" w:type="dxa"/>
          </w:tcPr>
          <w:p w14:paraId="4DE8AB61" w14:textId="492538DD" w:rsidR="00B7450E" w:rsidRPr="0036042B" w:rsidRDefault="00B7450E" w:rsidP="002E3CF6">
            <w:pPr>
              <w:cnfStyle w:val="000000100000" w:firstRow="0" w:lastRow="0" w:firstColumn="0" w:lastColumn="0" w:oddVBand="0" w:evenVBand="0" w:oddHBand="1" w:evenHBand="0" w:firstRowFirstColumn="0" w:firstRowLastColumn="0" w:lastRowFirstColumn="0" w:lastRowLastColumn="0"/>
            </w:pPr>
            <w:r w:rsidRPr="0036042B">
              <w:t xml:space="preserve">100 MW </w:t>
            </w:r>
          </w:p>
        </w:tc>
      </w:tr>
      <w:tr w:rsidR="00B7450E" w14:paraId="022EBE96" w14:textId="77777777" w:rsidTr="0036042B">
        <w:tc>
          <w:tcPr>
            <w:cnfStyle w:val="001000000000" w:firstRow="0" w:lastRow="0" w:firstColumn="1" w:lastColumn="0" w:oddVBand="0" w:evenVBand="0" w:oddHBand="0" w:evenHBand="0" w:firstRowFirstColumn="0" w:firstRowLastColumn="0" w:lastRowFirstColumn="0" w:lastRowLastColumn="0"/>
            <w:tcW w:w="2552" w:type="dxa"/>
          </w:tcPr>
          <w:p w14:paraId="0C1DA561" w14:textId="1789C96D" w:rsidR="00B7450E" w:rsidRPr="0036042B" w:rsidRDefault="00B7450E" w:rsidP="002E3CF6">
            <w:pPr>
              <w:rPr>
                <w:b w:val="0"/>
                <w:bCs w:val="0"/>
              </w:rPr>
            </w:pPr>
            <w:r w:rsidRPr="0036042B">
              <w:rPr>
                <w:b w:val="0"/>
                <w:bCs w:val="0"/>
              </w:rPr>
              <w:t>Effekt t/CO</w:t>
            </w:r>
            <w:r w:rsidRPr="0036042B">
              <w:rPr>
                <w:b w:val="0"/>
                <w:bCs w:val="0"/>
                <w:vertAlign w:val="subscript"/>
              </w:rPr>
              <w:t>2</w:t>
            </w:r>
            <w:r w:rsidR="0036042B" w:rsidRPr="0036042B">
              <w:rPr>
                <w:b w:val="0"/>
                <w:bCs w:val="0"/>
              </w:rPr>
              <w:t xml:space="preserve"> i 2030</w:t>
            </w:r>
          </w:p>
        </w:tc>
        <w:tc>
          <w:tcPr>
            <w:tcW w:w="7076" w:type="dxa"/>
          </w:tcPr>
          <w:p w14:paraId="685E3BF3" w14:textId="3DA9568F" w:rsidR="00B7450E" w:rsidRPr="0036042B" w:rsidRDefault="004A318B" w:rsidP="002E3CF6">
            <w:pPr>
              <w:cnfStyle w:val="000000000000" w:firstRow="0" w:lastRow="0" w:firstColumn="0" w:lastColumn="0" w:oddVBand="0" w:evenVBand="0" w:oddHBand="0" w:evenHBand="0" w:firstRowFirstColumn="0" w:firstRowLastColumn="0" w:lastRowFirstColumn="0" w:lastRowLastColumn="0"/>
            </w:pPr>
            <w:r>
              <w:t>91</w:t>
            </w:r>
            <w:r w:rsidR="00323ABF">
              <w:t>.300</w:t>
            </w:r>
          </w:p>
        </w:tc>
      </w:tr>
      <w:tr w:rsidR="00B7450E" w14:paraId="5F5C3136" w14:textId="77777777" w:rsidTr="0036042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52" w:type="dxa"/>
          </w:tcPr>
          <w:p w14:paraId="565223C8" w14:textId="2C458F73" w:rsidR="00B7450E" w:rsidRPr="0036042B" w:rsidRDefault="0036042B" w:rsidP="002E3CF6">
            <w:pPr>
              <w:rPr>
                <w:b w:val="0"/>
                <w:bCs w:val="0"/>
              </w:rPr>
            </w:pPr>
            <w:r w:rsidRPr="0036042B">
              <w:rPr>
                <w:b w:val="0"/>
                <w:bCs w:val="0"/>
              </w:rPr>
              <w:t>Mål i 2050</w:t>
            </w:r>
          </w:p>
        </w:tc>
        <w:tc>
          <w:tcPr>
            <w:tcW w:w="7076" w:type="dxa"/>
          </w:tcPr>
          <w:p w14:paraId="28339EB4" w14:textId="733B6882" w:rsidR="00B7450E" w:rsidRPr="0036042B" w:rsidRDefault="0036042B" w:rsidP="002E3CF6">
            <w:pPr>
              <w:cnfStyle w:val="000000100000" w:firstRow="0" w:lastRow="0" w:firstColumn="0" w:lastColumn="0" w:oddVBand="0" w:evenVBand="0" w:oddHBand="1" w:evenHBand="0" w:firstRowFirstColumn="0" w:firstRowLastColumn="0" w:lastRowFirstColumn="0" w:lastRowLastColumn="0"/>
            </w:pPr>
            <w:r w:rsidRPr="0036042B">
              <w:t xml:space="preserve">300 MW </w:t>
            </w:r>
          </w:p>
        </w:tc>
      </w:tr>
      <w:tr w:rsidR="0036042B" w14:paraId="02BEEFDE" w14:textId="77777777" w:rsidTr="0036042B">
        <w:tc>
          <w:tcPr>
            <w:cnfStyle w:val="001000000000" w:firstRow="0" w:lastRow="0" w:firstColumn="1" w:lastColumn="0" w:oddVBand="0" w:evenVBand="0" w:oddHBand="0" w:evenHBand="0" w:firstRowFirstColumn="0" w:firstRowLastColumn="0" w:lastRowFirstColumn="0" w:lastRowLastColumn="0"/>
            <w:tcW w:w="2552" w:type="dxa"/>
          </w:tcPr>
          <w:p w14:paraId="12ADE444" w14:textId="1F5EF6EE" w:rsidR="0036042B" w:rsidRPr="0036042B" w:rsidRDefault="0036042B" w:rsidP="002E3CF6">
            <w:pPr>
              <w:rPr>
                <w:b w:val="0"/>
                <w:bCs w:val="0"/>
              </w:rPr>
            </w:pPr>
            <w:r w:rsidRPr="0036042B">
              <w:rPr>
                <w:b w:val="0"/>
                <w:bCs w:val="0"/>
              </w:rPr>
              <w:t>Effekt t/CO</w:t>
            </w:r>
            <w:r w:rsidRPr="0036042B">
              <w:rPr>
                <w:b w:val="0"/>
                <w:bCs w:val="0"/>
                <w:vertAlign w:val="subscript"/>
              </w:rPr>
              <w:t>2</w:t>
            </w:r>
            <w:r w:rsidRPr="0036042B">
              <w:rPr>
                <w:b w:val="0"/>
                <w:bCs w:val="0"/>
              </w:rPr>
              <w:t xml:space="preserve"> i 2030</w:t>
            </w:r>
          </w:p>
        </w:tc>
        <w:tc>
          <w:tcPr>
            <w:tcW w:w="7076" w:type="dxa"/>
          </w:tcPr>
          <w:p w14:paraId="341AC9DD" w14:textId="4674ACA3" w:rsidR="0036042B" w:rsidRPr="0036042B" w:rsidRDefault="00323ABF" w:rsidP="002E3CF6">
            <w:pPr>
              <w:cnfStyle w:val="000000000000" w:firstRow="0" w:lastRow="0" w:firstColumn="0" w:lastColumn="0" w:oddVBand="0" w:evenVBand="0" w:oddHBand="0" w:evenHBand="0" w:firstRowFirstColumn="0" w:firstRowLastColumn="0" w:lastRowFirstColumn="0" w:lastRowLastColumn="0"/>
            </w:pPr>
            <w:r>
              <w:t xml:space="preserve">273.900 </w:t>
            </w:r>
          </w:p>
        </w:tc>
      </w:tr>
    </w:tbl>
    <w:p w14:paraId="0DD0D7CB" w14:textId="77777777" w:rsidR="002E3CF6" w:rsidRDefault="002E3CF6" w:rsidP="002E3CF6"/>
    <w:p w14:paraId="0C682FDC" w14:textId="2845EB0C" w:rsidR="00323C92" w:rsidRDefault="00323C92" w:rsidP="002E3CF6">
      <w:r>
        <w:t xml:space="preserve">Som det ses af </w:t>
      </w:r>
      <w:r w:rsidR="00F94FAC">
        <w:t>skemaet,</w:t>
      </w:r>
      <w:r>
        <w:t xml:space="preserve"> er det store </w:t>
      </w:r>
      <w:r w:rsidR="00FE5AD7">
        <w:t>CO</w:t>
      </w:r>
      <w:r w:rsidR="00FE5AD7" w:rsidRPr="00FE5AD7">
        <w:rPr>
          <w:vertAlign w:val="subscript"/>
        </w:rPr>
        <w:t>2</w:t>
      </w:r>
      <w:r w:rsidR="00FE5AD7">
        <w:t xml:space="preserve"> reduktioner som anlæggene med</w:t>
      </w:r>
      <w:r w:rsidR="00EC1668">
        <w:t xml:space="preserve">fører. I 2030 udgør </w:t>
      </w:r>
      <w:r w:rsidR="005D1932">
        <w:t>PtX</w:t>
      </w:r>
      <w:r w:rsidR="00B251E2">
        <w:t xml:space="preserve"> anlæggene</w:t>
      </w:r>
      <w:r w:rsidR="00F94FAC">
        <w:t xml:space="preserve"> ca</w:t>
      </w:r>
      <w:r w:rsidR="00845232">
        <w:t>.</w:t>
      </w:r>
      <w:r w:rsidR="00F94FAC">
        <w:t xml:space="preserve"> 17% og i 2050 ca</w:t>
      </w:r>
      <w:r w:rsidR="00845232">
        <w:t>.</w:t>
      </w:r>
      <w:r w:rsidR="00F94FAC">
        <w:t xml:space="preserve"> 41% af de samlede reduktioner</w:t>
      </w:r>
      <w:r w:rsidR="00B251E2">
        <w:t>.</w:t>
      </w:r>
    </w:p>
    <w:p w14:paraId="1D639E02" w14:textId="7C53EB94" w:rsidR="00F7185E" w:rsidRDefault="00323ABF" w:rsidP="002E3CF6">
      <w:r>
        <w:t xml:space="preserve">Hvad der ikke </w:t>
      </w:r>
      <w:r w:rsidR="00FC5B5B">
        <w:t>fremgår</w:t>
      </w:r>
      <w:r>
        <w:t xml:space="preserve"> er</w:t>
      </w:r>
      <w:r w:rsidR="0086342A">
        <w:t>,</w:t>
      </w:r>
      <w:r>
        <w:t xml:space="preserve"> at reduktionerne dækker over flere forskellige projekter</w:t>
      </w:r>
      <w:r w:rsidR="003D65E6">
        <w:t>, som der vi</w:t>
      </w:r>
      <w:r w:rsidR="00986715">
        <w:t>l</w:t>
      </w:r>
      <w:r w:rsidR="003D65E6">
        <w:t xml:space="preserve"> blive red</w:t>
      </w:r>
      <w:r w:rsidR="00845232">
        <w:t>e</w:t>
      </w:r>
      <w:r w:rsidR="003D65E6">
        <w:t>gjort for senere i notatet.</w:t>
      </w:r>
    </w:p>
    <w:p w14:paraId="444A277A" w14:textId="596176CC" w:rsidR="00976CE5" w:rsidRPr="00802CFD" w:rsidRDefault="00035E5B" w:rsidP="00802CFD">
      <w:r w:rsidRPr="00802CFD">
        <w:t>Vi skal gøre opmærksom på at der er små forskelle</w:t>
      </w:r>
      <w:r w:rsidR="009B6BC6" w:rsidRPr="00802CFD">
        <w:t xml:space="preserve"> mellem</w:t>
      </w:r>
      <w:r w:rsidRPr="00802CFD">
        <w:t xml:space="preserve"> </w:t>
      </w:r>
      <w:r w:rsidR="009B6BC6" w:rsidRPr="00802CFD">
        <w:t xml:space="preserve">effekten angivet i handling nr. 2 og tallene i </w:t>
      </w:r>
      <w:r w:rsidR="00802CFD" w:rsidRPr="00802CFD">
        <w:t>reduktions</w:t>
      </w:r>
      <w:r w:rsidR="00414676" w:rsidRPr="00802CFD">
        <w:t xml:space="preserve">sti </w:t>
      </w:r>
      <w:r w:rsidR="00802CFD" w:rsidRPr="00802CFD">
        <w:t>beregneren</w:t>
      </w:r>
      <w:r w:rsidR="00414676" w:rsidRPr="00802CFD">
        <w:t xml:space="preserve"> (bilag 10)</w:t>
      </w:r>
      <w:r w:rsidR="00B3012A" w:rsidRPr="00802CFD">
        <w:t xml:space="preserve">. Forskellen har ingen betydning for den samlede reduktionssti og manko. </w:t>
      </w:r>
      <w:r w:rsidR="00B3012A" w:rsidRPr="00802CFD">
        <w:lastRenderedPageBreak/>
        <w:t xml:space="preserve">Vi har valgt at holde fast i de </w:t>
      </w:r>
      <w:r w:rsidR="00802CFD" w:rsidRPr="00802CFD">
        <w:t>oprindelige</w:t>
      </w:r>
      <w:r w:rsidR="00B3012A" w:rsidRPr="00802CFD">
        <w:t xml:space="preserve"> tal for ikke at skulle til at </w:t>
      </w:r>
      <w:r w:rsidR="00802CFD" w:rsidRPr="00802CFD">
        <w:t>konsekvensen</w:t>
      </w:r>
      <w:r w:rsidR="00B3012A" w:rsidRPr="00802CFD">
        <w:t xml:space="preserve"> </w:t>
      </w:r>
      <w:proofErr w:type="gramStart"/>
      <w:r w:rsidR="00B3012A" w:rsidRPr="00802CFD">
        <w:t>rette</w:t>
      </w:r>
      <w:proofErr w:type="gramEnd"/>
      <w:r w:rsidR="00B3012A" w:rsidRPr="00802CFD">
        <w:t xml:space="preserve"> </w:t>
      </w:r>
      <w:r w:rsidR="00341791" w:rsidRPr="00802CFD">
        <w:t xml:space="preserve">de dokumenter hvor </w:t>
      </w:r>
      <w:r w:rsidR="001B3357" w:rsidRPr="00802CFD">
        <w:t xml:space="preserve">reduktionsstien frem går i.  </w:t>
      </w:r>
    </w:p>
    <w:p w14:paraId="4A3C56D7" w14:textId="77777777" w:rsidR="00EA77D7" w:rsidRPr="00E774AE" w:rsidRDefault="00EA77D7" w:rsidP="00926163">
      <w:pPr>
        <w:rPr>
          <w:color w:val="FF0000"/>
        </w:rPr>
      </w:pPr>
    </w:p>
    <w:p w14:paraId="6140FE60" w14:textId="397DEEE6" w:rsidR="002676F8" w:rsidRDefault="007270D7" w:rsidP="002676F8">
      <w:pPr>
        <w:pStyle w:val="Overskrift2"/>
      </w:pPr>
      <w:bookmarkStart w:id="4" w:name="_Toc115355326"/>
      <w:r>
        <w:t xml:space="preserve">Tallene bag </w:t>
      </w:r>
      <w:r w:rsidR="002E3CF6">
        <w:t>målet om 100 MW anlæg</w:t>
      </w:r>
      <w:bookmarkEnd w:id="4"/>
    </w:p>
    <w:p w14:paraId="260A82C8" w14:textId="7625FABC" w:rsidR="002E3CF6" w:rsidRDefault="002E3CF6" w:rsidP="002C71A9">
      <w:pPr>
        <w:spacing w:after="0"/>
        <w:jc w:val="both"/>
      </w:pPr>
      <w:r>
        <w:t>Det har være PlanEnergi som har regnet på reduktionen. Det har de gjort ud fra følgende oplysninger</w:t>
      </w:r>
      <w:r w:rsidR="0036042B">
        <w:t xml:space="preserve"> i forhold til 2030:</w:t>
      </w:r>
    </w:p>
    <w:p w14:paraId="5D7A8178" w14:textId="4798E89D" w:rsidR="002E3CF6" w:rsidRDefault="002E3CF6" w:rsidP="002C71A9">
      <w:pPr>
        <w:pStyle w:val="Listeafsnit"/>
        <w:numPr>
          <w:ilvl w:val="0"/>
          <w:numId w:val="14"/>
        </w:numPr>
        <w:jc w:val="both"/>
      </w:pPr>
      <w:r>
        <w:t>Metanol anlæg på 100 MW</w:t>
      </w:r>
    </w:p>
    <w:p w14:paraId="3B3DE2AD" w14:textId="6B35FA6E" w:rsidR="000C7AAF" w:rsidRDefault="002E3CF6" w:rsidP="00A819AE">
      <w:pPr>
        <w:pStyle w:val="Listeafsnit"/>
        <w:numPr>
          <w:ilvl w:val="0"/>
          <w:numId w:val="14"/>
        </w:numPr>
        <w:jc w:val="both"/>
      </w:pPr>
      <w:r>
        <w:t>2</w:t>
      </w:r>
      <w:r w:rsidR="006C1B6E">
        <w:t>41.893</w:t>
      </w:r>
      <w:r>
        <w:t xml:space="preserve"> t</w:t>
      </w:r>
      <w:r w:rsidR="00A64CE4">
        <w:t>/år</w:t>
      </w:r>
      <w:r>
        <w:t xml:space="preserve"> CO</w:t>
      </w:r>
      <w:r w:rsidRPr="002E3CF6">
        <w:rPr>
          <w:vertAlign w:val="subscript"/>
        </w:rPr>
        <w:t>2</w:t>
      </w:r>
      <w:r>
        <w:t xml:space="preserve"> </w:t>
      </w:r>
      <w:r w:rsidR="00B7450E">
        <w:t>til rådighed</w:t>
      </w:r>
      <w:r>
        <w:t xml:space="preserve"> fra biogasanlæggene </w:t>
      </w:r>
      <w:r w:rsidR="00FE6490">
        <w:t>(se bilag</w:t>
      </w:r>
      <w:r w:rsidR="009607B7">
        <w:t xml:space="preserve"> 30.3)</w:t>
      </w:r>
    </w:p>
    <w:p w14:paraId="4A083C26" w14:textId="3A81968F" w:rsidR="00A819AE" w:rsidRDefault="009607B7" w:rsidP="00A819AE">
      <w:pPr>
        <w:pStyle w:val="Listeafsnit"/>
        <w:numPr>
          <w:ilvl w:val="0"/>
          <w:numId w:val="14"/>
        </w:numPr>
        <w:jc w:val="both"/>
      </w:pPr>
      <w:r>
        <w:t>Ca</w:t>
      </w:r>
      <w:r w:rsidR="0086342A">
        <w:t>.</w:t>
      </w:r>
      <w:r>
        <w:t xml:space="preserve"> </w:t>
      </w:r>
      <w:r w:rsidR="00FE6490">
        <w:t xml:space="preserve">60.000 t /år fra biogen </w:t>
      </w:r>
      <w:r w:rsidR="00A819AE">
        <w:t>affaldsforbrænding</w:t>
      </w:r>
    </w:p>
    <w:p w14:paraId="68CCF90A" w14:textId="2CBC610C" w:rsidR="0020108E" w:rsidRPr="000B4B16" w:rsidRDefault="00C77641" w:rsidP="000B4B16">
      <w:pPr>
        <w:jc w:val="both"/>
      </w:pPr>
      <w:r w:rsidRPr="000B4B16">
        <w:t>CO</w:t>
      </w:r>
      <w:r w:rsidRPr="000B4B16">
        <w:rPr>
          <w:vertAlign w:val="subscript"/>
        </w:rPr>
        <w:t>2</w:t>
      </w:r>
      <w:r w:rsidRPr="000B4B16">
        <w:t xml:space="preserve"> tallene for biogasanlæggene og </w:t>
      </w:r>
      <w:r w:rsidR="000B4B16" w:rsidRPr="000B4B16">
        <w:t>affaldsforbrændingen</w:t>
      </w:r>
      <w:r w:rsidRPr="000B4B16">
        <w:t xml:space="preserve"> er </w:t>
      </w:r>
      <w:r w:rsidR="000B4B16" w:rsidRPr="000B4B16">
        <w:t xml:space="preserve">2022 tal. Der er udvidelser på vej på alle biogasanlæg, enten er kommunen i gang med at sagsbehandle ansøgningerne eller også er ansøgninger på vej til kommunen. </w:t>
      </w:r>
    </w:p>
    <w:p w14:paraId="7E5B6E56" w14:textId="3E6FF182" w:rsidR="007270D7" w:rsidRDefault="0036042B" w:rsidP="002C71A9">
      <w:pPr>
        <w:spacing w:after="0"/>
        <w:jc w:val="both"/>
      </w:pPr>
      <w:r>
        <w:t>Nøgletallene</w:t>
      </w:r>
      <w:r w:rsidR="00EB0F6A">
        <w:t xml:space="preserve"> for et metanolanlæg, med 100 MV elektrolyse-effekt er</w:t>
      </w:r>
      <w:r>
        <w:t>:</w:t>
      </w:r>
    </w:p>
    <w:p w14:paraId="776F8CF4" w14:textId="77777777" w:rsidR="001A1640" w:rsidRDefault="001A1640" w:rsidP="002C71A9">
      <w:pPr>
        <w:pStyle w:val="Listeafsnit"/>
        <w:numPr>
          <w:ilvl w:val="0"/>
          <w:numId w:val="13"/>
        </w:numPr>
        <w:spacing w:line="256" w:lineRule="auto"/>
        <w:jc w:val="both"/>
      </w:pPr>
      <w:r>
        <w:t>CO</w:t>
      </w:r>
      <w:r w:rsidRPr="00656344">
        <w:rPr>
          <w:vertAlign w:val="subscript"/>
        </w:rPr>
        <w:t>2</w:t>
      </w:r>
      <w:r>
        <w:t>-input 91.200 t CO</w:t>
      </w:r>
      <w:r>
        <w:rPr>
          <w:vertAlign w:val="subscript"/>
        </w:rPr>
        <w:t>2</w:t>
      </w:r>
      <w:r>
        <w:t>/år (nyttiggjort CO</w:t>
      </w:r>
      <w:r>
        <w:rPr>
          <w:vertAlign w:val="subscript"/>
        </w:rPr>
        <w:t>2</w:t>
      </w:r>
      <w:r>
        <w:t xml:space="preserve"> fra CCU)</w:t>
      </w:r>
    </w:p>
    <w:p w14:paraId="0D7F5475" w14:textId="77777777" w:rsidR="001A1640" w:rsidRDefault="001A1640" w:rsidP="002C71A9">
      <w:pPr>
        <w:pStyle w:val="Listeafsnit"/>
        <w:numPr>
          <w:ilvl w:val="0"/>
          <w:numId w:val="13"/>
        </w:numPr>
        <w:spacing w:line="256" w:lineRule="auto"/>
        <w:jc w:val="both"/>
      </w:pPr>
      <w:r>
        <w:t>Produktion af metanol: 1.333 TJ/år</w:t>
      </w:r>
    </w:p>
    <w:p w14:paraId="68D7C645" w14:textId="77777777" w:rsidR="001A1640" w:rsidRDefault="001A1640" w:rsidP="002C71A9">
      <w:pPr>
        <w:pStyle w:val="Listeafsnit"/>
        <w:numPr>
          <w:ilvl w:val="0"/>
          <w:numId w:val="13"/>
        </w:numPr>
        <w:spacing w:line="256" w:lineRule="auto"/>
        <w:jc w:val="both"/>
      </w:pPr>
      <w:r>
        <w:t>Elforbrug: 2.500 TJ/år</w:t>
      </w:r>
    </w:p>
    <w:p w14:paraId="38DE46FE" w14:textId="77777777" w:rsidR="001A1640" w:rsidRDefault="001A1640" w:rsidP="002C71A9">
      <w:pPr>
        <w:pStyle w:val="Listeafsnit"/>
        <w:numPr>
          <w:ilvl w:val="0"/>
          <w:numId w:val="13"/>
        </w:numPr>
        <w:spacing w:line="256" w:lineRule="auto"/>
        <w:jc w:val="both"/>
      </w:pPr>
      <w:r>
        <w:t>Overskudsvarme: 370 TJ/år</w:t>
      </w:r>
    </w:p>
    <w:p w14:paraId="425656C4" w14:textId="77777777" w:rsidR="001A1640" w:rsidRDefault="001A1640" w:rsidP="002C71A9">
      <w:pPr>
        <w:pStyle w:val="Listeafsnit"/>
        <w:numPr>
          <w:ilvl w:val="0"/>
          <w:numId w:val="13"/>
        </w:numPr>
        <w:spacing w:line="256" w:lineRule="auto"/>
        <w:jc w:val="both"/>
      </w:pPr>
      <w:r>
        <w:t>CO</w:t>
      </w:r>
      <w:r>
        <w:rPr>
          <w:vertAlign w:val="subscript"/>
        </w:rPr>
        <w:t>2</w:t>
      </w:r>
      <w:r>
        <w:t>-fortrængning: 98.800 TJ/år</w:t>
      </w:r>
    </w:p>
    <w:p w14:paraId="054B648A" w14:textId="77777777" w:rsidR="001A1640" w:rsidRDefault="001A1640" w:rsidP="002C71A9">
      <w:pPr>
        <w:spacing w:after="0"/>
        <w:jc w:val="both"/>
      </w:pPr>
      <w:r>
        <w:t>PlanEnergi har forudsat følgende:</w:t>
      </w:r>
    </w:p>
    <w:p w14:paraId="385CB29D" w14:textId="77777777" w:rsidR="001A1640" w:rsidRDefault="001A1640" w:rsidP="002C71A9">
      <w:pPr>
        <w:pStyle w:val="Listeafsnit"/>
        <w:numPr>
          <w:ilvl w:val="0"/>
          <w:numId w:val="12"/>
        </w:numPr>
        <w:spacing w:line="256" w:lineRule="auto"/>
        <w:jc w:val="both"/>
      </w:pPr>
      <w:r>
        <w:t>At der anvendes samme proces som i Power2Met-projekt (demonstreret i EUPD-projekt)</w:t>
      </w:r>
    </w:p>
    <w:p w14:paraId="573CF884" w14:textId="77777777" w:rsidR="001A1640" w:rsidRDefault="001A1640" w:rsidP="002C71A9">
      <w:pPr>
        <w:pStyle w:val="Listeafsnit"/>
        <w:numPr>
          <w:ilvl w:val="0"/>
          <w:numId w:val="12"/>
        </w:numPr>
        <w:spacing w:line="256" w:lineRule="auto"/>
        <w:jc w:val="both"/>
      </w:pPr>
      <w:r>
        <w:t>At metanolen fortrænger dieselolie til transport</w:t>
      </w:r>
    </w:p>
    <w:p w14:paraId="5916C4BB" w14:textId="77777777" w:rsidR="001A1640" w:rsidRDefault="001A1640" w:rsidP="002C71A9">
      <w:pPr>
        <w:pStyle w:val="Listeafsnit"/>
        <w:numPr>
          <w:ilvl w:val="0"/>
          <w:numId w:val="12"/>
        </w:numPr>
        <w:spacing w:line="256" w:lineRule="auto"/>
        <w:jc w:val="both"/>
      </w:pPr>
      <w:r>
        <w:t>At al den anvendte el er 100% CO</w:t>
      </w:r>
      <w:r>
        <w:rPr>
          <w:vertAlign w:val="subscript"/>
        </w:rPr>
        <w:t>2</w:t>
      </w:r>
      <w:r>
        <w:t>-neutral</w:t>
      </w:r>
    </w:p>
    <w:p w14:paraId="59861F89" w14:textId="31FE8C6C" w:rsidR="001A1640" w:rsidRPr="002C71A9" w:rsidRDefault="001A1640" w:rsidP="001A1640">
      <w:pPr>
        <w:jc w:val="both"/>
      </w:pPr>
      <w:r w:rsidRPr="002C71A9">
        <w:rPr>
          <w:color w:val="1F4429" w:themeColor="accent5" w:themeShade="80"/>
        </w:rPr>
        <w:t>CO</w:t>
      </w:r>
      <w:r w:rsidRPr="002C71A9">
        <w:rPr>
          <w:color w:val="1F4429" w:themeColor="accent5" w:themeShade="80"/>
          <w:vertAlign w:val="subscript"/>
        </w:rPr>
        <w:t>2</w:t>
      </w:r>
      <w:r w:rsidRPr="002C71A9">
        <w:rPr>
          <w:color w:val="1F4429" w:themeColor="accent5" w:themeShade="80"/>
        </w:rPr>
        <w:t xml:space="preserve">-reduktionen fra </w:t>
      </w:r>
      <w:proofErr w:type="spellStart"/>
      <w:r w:rsidRPr="002C71A9">
        <w:rPr>
          <w:color w:val="1F4429" w:themeColor="accent5" w:themeShade="80"/>
        </w:rPr>
        <w:t>P</w:t>
      </w:r>
      <w:r w:rsidR="0086342A">
        <w:rPr>
          <w:color w:val="1F4429" w:themeColor="accent5" w:themeShade="80"/>
        </w:rPr>
        <w:t>t</w:t>
      </w:r>
      <w:r w:rsidRPr="002C71A9">
        <w:rPr>
          <w:color w:val="1F4429" w:themeColor="accent5" w:themeShade="80"/>
        </w:rPr>
        <w:t>X</w:t>
      </w:r>
      <w:proofErr w:type="spellEnd"/>
      <w:r w:rsidRPr="002C71A9">
        <w:rPr>
          <w:color w:val="1F4429" w:themeColor="accent5" w:themeShade="80"/>
        </w:rPr>
        <w:t xml:space="preserve"> beregnes ud fra den valgte PtX-proces</w:t>
      </w:r>
      <w:r w:rsidRPr="002C71A9">
        <w:rPr>
          <w:rStyle w:val="Fodnotehenvisning"/>
          <w:color w:val="1F4429" w:themeColor="accent5" w:themeShade="80"/>
        </w:rPr>
        <w:footnoteReference w:id="2"/>
      </w:r>
      <w:r w:rsidRPr="002C71A9">
        <w:rPr>
          <w:color w:val="1F4429" w:themeColor="accent5" w:themeShade="80"/>
        </w:rPr>
        <w:t xml:space="preserve"> (metanolproduktion på overskuds-CO</w:t>
      </w:r>
      <w:r w:rsidRPr="002C71A9">
        <w:rPr>
          <w:color w:val="1F4429" w:themeColor="accent5" w:themeShade="80"/>
          <w:vertAlign w:val="subscript"/>
        </w:rPr>
        <w:t>2</w:t>
      </w:r>
      <w:r w:rsidRPr="002C71A9">
        <w:rPr>
          <w:color w:val="1F4429" w:themeColor="accent5" w:themeShade="80"/>
        </w:rPr>
        <w:t>). Produktet metanol</w:t>
      </w:r>
      <w:r w:rsidR="002C5F00">
        <w:rPr>
          <w:color w:val="1F4429" w:themeColor="accent5" w:themeShade="80"/>
        </w:rPr>
        <w:t xml:space="preserve"> </w:t>
      </w:r>
      <w:r w:rsidR="002E05E1">
        <w:rPr>
          <w:color w:val="1F4429" w:themeColor="accent5" w:themeShade="80"/>
        </w:rPr>
        <w:t>(</w:t>
      </w:r>
      <w:r w:rsidRPr="002C71A9">
        <w:rPr>
          <w:color w:val="1F4429" w:themeColor="accent5" w:themeShade="80"/>
        </w:rPr>
        <w:t xml:space="preserve">flydende brændstof) vil kunne erstatte </w:t>
      </w:r>
      <w:r w:rsidR="002E05E1">
        <w:rPr>
          <w:color w:val="1F4429" w:themeColor="accent5" w:themeShade="80"/>
        </w:rPr>
        <w:t xml:space="preserve">andre </w:t>
      </w:r>
      <w:r w:rsidRPr="002C71A9">
        <w:rPr>
          <w:color w:val="1F4429" w:themeColor="accent5" w:themeShade="80"/>
        </w:rPr>
        <w:t>flydende brændstof</w:t>
      </w:r>
      <w:r w:rsidR="002C5F00">
        <w:rPr>
          <w:color w:val="1F4429" w:themeColor="accent5" w:themeShade="80"/>
        </w:rPr>
        <w:t>fer</w:t>
      </w:r>
      <w:r w:rsidRPr="002C71A9">
        <w:rPr>
          <w:color w:val="1F4429" w:themeColor="accent5" w:themeShade="80"/>
        </w:rPr>
        <w:t xml:space="preserve"> i transportsektoren, f.eks. tung transport eller skibsfart. CO</w:t>
      </w:r>
      <w:r w:rsidRPr="002C71A9">
        <w:rPr>
          <w:color w:val="1F4429" w:themeColor="accent5" w:themeShade="80"/>
          <w:vertAlign w:val="subscript"/>
        </w:rPr>
        <w:t>2</w:t>
      </w:r>
      <w:r w:rsidRPr="002C71A9">
        <w:rPr>
          <w:color w:val="1F4429" w:themeColor="accent5" w:themeShade="80"/>
        </w:rPr>
        <w:t>-effekten fra PtX/metanol er derfor beregnet ud fra en 1:1 erstatning af fossil dieselolie</w:t>
      </w:r>
      <w:r w:rsidRPr="002C71A9">
        <w:rPr>
          <w:rStyle w:val="Fodnotehenvisning"/>
          <w:color w:val="1F4429" w:themeColor="accent5" w:themeShade="80"/>
        </w:rPr>
        <w:footnoteReference w:id="3"/>
      </w:r>
      <w:r w:rsidRPr="002C71A9">
        <w:rPr>
          <w:color w:val="1F4429" w:themeColor="accent5" w:themeShade="80"/>
        </w:rPr>
        <w:t xml:space="preserve">. </w:t>
      </w:r>
    </w:p>
    <w:p w14:paraId="0974B04D" w14:textId="77777777" w:rsidR="001A1640" w:rsidRDefault="001A1640" w:rsidP="001A1640">
      <w:pPr>
        <w:jc w:val="both"/>
      </w:pPr>
      <w:r w:rsidRPr="002C71A9">
        <w:t>Der er ikke indregnet CO</w:t>
      </w:r>
      <w:r w:rsidRPr="002C71A9">
        <w:rPr>
          <w:vertAlign w:val="subscript"/>
        </w:rPr>
        <w:t xml:space="preserve">2 </w:t>
      </w:r>
      <w:r w:rsidRPr="002C71A9">
        <w:t xml:space="preserve">fortrængning af overskudsvarme, men udelukkende af metanol og dieselolie. </w:t>
      </w:r>
    </w:p>
    <w:p w14:paraId="04ECBAAA" w14:textId="1A6CCA81" w:rsidR="00AC27D4" w:rsidRPr="000B4B16" w:rsidRDefault="00AC27D4" w:rsidP="00AC27D4">
      <w:r w:rsidRPr="000B4B16">
        <w:t xml:space="preserve">Der er taget højde for stigningen i elforbruget som følge af </w:t>
      </w:r>
      <w:proofErr w:type="spellStart"/>
      <w:r w:rsidR="000B4B16" w:rsidRPr="000B4B16">
        <w:t>P</w:t>
      </w:r>
      <w:r w:rsidRPr="000B4B16">
        <w:t>t</w:t>
      </w:r>
      <w:r w:rsidR="000B4B16" w:rsidRPr="000B4B16">
        <w:t>X</w:t>
      </w:r>
      <w:proofErr w:type="spellEnd"/>
      <w:r w:rsidRPr="000B4B16">
        <w:t xml:space="preserve"> </w:t>
      </w:r>
      <w:proofErr w:type="spellStart"/>
      <w:r w:rsidRPr="000B4B16">
        <w:t>progrationen</w:t>
      </w:r>
      <w:proofErr w:type="spellEnd"/>
      <w:r w:rsidRPr="000B4B16">
        <w:t>.</w:t>
      </w:r>
    </w:p>
    <w:p w14:paraId="5C9C322B" w14:textId="4409C5B2" w:rsidR="001A1640" w:rsidRPr="002C71A9" w:rsidRDefault="001A1640" w:rsidP="001A1640">
      <w:pPr>
        <w:jc w:val="both"/>
      </w:pPr>
      <w:r w:rsidRPr="002C71A9">
        <w:t>Hjørring Kommune forudsætter, at kapaciteten og produktionen vil tredobles frem mod 2050.</w:t>
      </w:r>
    </w:p>
    <w:p w14:paraId="47E69D3B" w14:textId="3B88F92F" w:rsidR="002676F8" w:rsidRPr="002C71A9" w:rsidRDefault="001A1640" w:rsidP="00026437">
      <w:pPr>
        <w:rPr>
          <w:rFonts w:eastAsia="Times New Roman" w:cstheme="minorHAnsi"/>
          <w:color w:val="252525"/>
          <w:lang w:eastAsia="da-DK"/>
        </w:rPr>
      </w:pPr>
      <w:proofErr w:type="spellStart"/>
      <w:r w:rsidRPr="002C71A9">
        <w:rPr>
          <w:rFonts w:eastAsia="Times New Roman" w:cstheme="minorHAnsi"/>
          <w:color w:val="252525"/>
          <w:lang w:eastAsia="da-DK"/>
        </w:rPr>
        <w:t>PlanEnergi</w:t>
      </w:r>
      <w:proofErr w:type="spellEnd"/>
      <w:r w:rsidRPr="002C71A9">
        <w:rPr>
          <w:rFonts w:eastAsia="Times New Roman" w:cstheme="minorHAnsi"/>
          <w:color w:val="252525"/>
          <w:lang w:eastAsia="da-DK"/>
        </w:rPr>
        <w:t xml:space="preserve"> har oplyst</w:t>
      </w:r>
      <w:r w:rsidR="00897F34">
        <w:rPr>
          <w:rFonts w:eastAsia="Times New Roman" w:cstheme="minorHAnsi"/>
          <w:color w:val="252525"/>
          <w:lang w:eastAsia="da-DK"/>
        </w:rPr>
        <w:t>,</w:t>
      </w:r>
      <w:r w:rsidRPr="002C71A9">
        <w:rPr>
          <w:rFonts w:eastAsia="Times New Roman" w:cstheme="minorHAnsi"/>
          <w:color w:val="252525"/>
          <w:lang w:eastAsia="da-DK"/>
        </w:rPr>
        <w:t xml:space="preserve"> at der er anvendt samme beregningsmetode her</w:t>
      </w:r>
      <w:r w:rsidR="00E21C25" w:rsidRPr="002C71A9">
        <w:rPr>
          <w:rFonts w:eastAsia="Times New Roman" w:cstheme="minorHAnsi"/>
          <w:color w:val="252525"/>
          <w:lang w:eastAsia="da-DK"/>
        </w:rPr>
        <w:t xml:space="preserve"> som er anvendt i andre kommuner de har beregnet CO</w:t>
      </w:r>
      <w:r w:rsidR="00E21C25" w:rsidRPr="002C71A9">
        <w:rPr>
          <w:rFonts w:eastAsia="Times New Roman" w:cstheme="minorHAnsi"/>
          <w:color w:val="252525"/>
          <w:vertAlign w:val="subscript"/>
          <w:lang w:eastAsia="da-DK"/>
        </w:rPr>
        <w:t>2</w:t>
      </w:r>
      <w:r w:rsidR="00E21C25" w:rsidRPr="002C71A9">
        <w:rPr>
          <w:rFonts w:eastAsia="Times New Roman" w:cstheme="minorHAnsi"/>
          <w:color w:val="252525"/>
          <w:lang w:eastAsia="da-DK"/>
        </w:rPr>
        <w:t xml:space="preserve"> reduktioner på for PtX anlæg</w:t>
      </w:r>
    </w:p>
    <w:p w14:paraId="0EEC427B" w14:textId="3AE7EC7F" w:rsidR="00DE31DB" w:rsidRDefault="00DE31DB" w:rsidP="00DE31DB">
      <w:pPr>
        <w:pStyle w:val="Overskrift2"/>
      </w:pPr>
      <w:bookmarkStart w:id="5" w:name="_Toc115355327"/>
      <w:r>
        <w:t>Projekterne bag tallene</w:t>
      </w:r>
      <w:bookmarkEnd w:id="5"/>
    </w:p>
    <w:p w14:paraId="4F1D7257" w14:textId="120813A2" w:rsidR="003460E1" w:rsidRPr="003460E1" w:rsidRDefault="00DE31DB" w:rsidP="00026437">
      <w:r>
        <w:t>Herunder redegøres for projekterne som er på vej i Hjørring</w:t>
      </w:r>
      <w:r w:rsidR="00FC5B5B">
        <w:t>, s</w:t>
      </w:r>
      <w:r>
        <w:t>å langt som det er muligt i forhold til fortrolighed og GDPR</w:t>
      </w:r>
    </w:p>
    <w:p w14:paraId="227B7F82" w14:textId="780E2DB4" w:rsidR="004C1693" w:rsidRPr="002676F8" w:rsidRDefault="0041590C" w:rsidP="004C1693">
      <w:pPr>
        <w:pStyle w:val="Overskrift4"/>
      </w:pPr>
      <w:r>
        <w:lastRenderedPageBreak/>
        <w:t>Udvidelse af Hirtshals Havn</w:t>
      </w:r>
    </w:p>
    <w:p w14:paraId="35FDB307" w14:textId="7C936657" w:rsidR="00DC4B23" w:rsidRDefault="0041590C" w:rsidP="008D0A45">
      <w:pPr>
        <w:jc w:val="both"/>
      </w:pPr>
      <w:r>
        <w:t>Hjørring Byråd godkendte d. 31</w:t>
      </w:r>
      <w:r w:rsidR="0042180D">
        <w:t>.</w:t>
      </w:r>
      <w:r>
        <w:t xml:space="preserve"> august 2022 at igangsætte fordebat vedrørende udvidelse af Hirtshals Havn. Der ønskes </w:t>
      </w:r>
      <w:r w:rsidR="007356A5">
        <w:t xml:space="preserve">udvidelse af havnen med ny indsejling, større svajebassin, længere kajpladser, spuleflet og nyt areal til havnerelaterede erhvervsformål </w:t>
      </w:r>
      <w:r w:rsidR="0042180D">
        <w:t>inkl.</w:t>
      </w:r>
      <w:r w:rsidR="007356A5">
        <w:t xml:space="preserve"> vindmøller. </w:t>
      </w:r>
      <w:r w:rsidR="008E4F2F">
        <w:t xml:space="preserve"> Bilag </w:t>
      </w:r>
      <w:r w:rsidR="00247872">
        <w:t xml:space="preserve">30.1 beskriver </w:t>
      </w:r>
      <w:r w:rsidR="00F76589">
        <w:t>udviklingen af Hirtshals Havn de kommende år.</w:t>
      </w:r>
    </w:p>
    <w:p w14:paraId="20ACBC2B" w14:textId="77777777" w:rsidR="009A1B8A" w:rsidRDefault="007356A5" w:rsidP="008D0A45">
      <w:pPr>
        <w:jc w:val="both"/>
      </w:pPr>
      <w:r>
        <w:t xml:space="preserve">Vindmøllerne skal levere strøm til opstartsprojekterne for PtX. </w:t>
      </w:r>
    </w:p>
    <w:p w14:paraId="140A2C9A" w14:textId="51DA1E24" w:rsidR="007356A5" w:rsidRDefault="007356A5" w:rsidP="008D0A45">
      <w:pPr>
        <w:jc w:val="both"/>
      </w:pPr>
      <w:r>
        <w:t>Der er ikke udarbejdet et konkret vindmølleprojekt</w:t>
      </w:r>
      <w:r w:rsidR="009A1B8A">
        <w:t xml:space="preserve">, der arbejdes ud fra en overordnet ramme </w:t>
      </w:r>
      <w:r w:rsidR="00AB0C10">
        <w:t xml:space="preserve">om </w:t>
      </w:r>
      <w:r w:rsidR="009A1B8A">
        <w:t>op</w:t>
      </w:r>
      <w:r w:rsidR="00AB0C10">
        <w:t>sætning af op</w:t>
      </w:r>
      <w:r w:rsidR="009A1B8A">
        <w:t xml:space="preserve"> til 9 møller med en total højde på max 200 m</w:t>
      </w:r>
    </w:p>
    <w:p w14:paraId="3EBFF1C9" w14:textId="523D679C" w:rsidR="009A1B8A" w:rsidRPr="00DA51D7" w:rsidRDefault="009A1B8A" w:rsidP="008D0A45">
      <w:pPr>
        <w:jc w:val="both"/>
        <w:rPr>
          <w:rStyle w:val="Hyperlink"/>
          <w:color w:val="BA7106"/>
          <w:u w:val="none"/>
        </w:rPr>
      </w:pPr>
      <w:r>
        <w:t xml:space="preserve">Se punkt 15 i </w:t>
      </w:r>
      <w:r w:rsidR="000250B1">
        <w:t xml:space="preserve">link </w:t>
      </w:r>
      <w:r w:rsidR="00050991">
        <w:t>28 (</w:t>
      </w:r>
      <w:hyperlink r:id="rId10" w:history="1">
        <w:r w:rsidR="00050991" w:rsidRPr="00AF6077">
          <w:rPr>
            <w:rStyle w:val="Hyperlink"/>
            <w:color w:val="BA7106"/>
          </w:rPr>
          <w:t xml:space="preserve">Referat fra byrådsmøde d. 31. august – se </w:t>
        </w:r>
        <w:r w:rsidR="00D23385" w:rsidRPr="00AF6077">
          <w:rPr>
            <w:rStyle w:val="Hyperlink"/>
            <w:color w:val="BA7106"/>
          </w:rPr>
          <w:t>pkt.</w:t>
        </w:r>
        <w:r w:rsidR="00050991" w:rsidRPr="00AF6077">
          <w:rPr>
            <w:rStyle w:val="Hyperlink"/>
            <w:color w:val="BA7106"/>
          </w:rPr>
          <w:t xml:space="preserve"> 15</w:t>
        </w:r>
      </w:hyperlink>
      <w:r w:rsidR="00DA51D7">
        <w:rPr>
          <w:rStyle w:val="Hyperlink"/>
          <w:color w:val="BA7106"/>
        </w:rPr>
        <w:t>)</w:t>
      </w:r>
    </w:p>
    <w:p w14:paraId="02B0A046" w14:textId="23213A46" w:rsidR="00AF700B" w:rsidRPr="002676F8" w:rsidRDefault="0042180D" w:rsidP="00AF700B">
      <w:pPr>
        <w:pStyle w:val="Overskrift4"/>
      </w:pPr>
      <w:r>
        <w:t>Kystnære vindmøller</w:t>
      </w:r>
    </w:p>
    <w:p w14:paraId="3D769C58" w14:textId="53E9190B" w:rsidR="00DC4B23" w:rsidRDefault="00AF700B" w:rsidP="00AF700B">
      <w:pPr>
        <w:jc w:val="both"/>
      </w:pPr>
      <w:r>
        <w:t>Hjørring</w:t>
      </w:r>
      <w:r w:rsidR="0042180D">
        <w:t xml:space="preserve"> Byråd har d. 16. august 2022 </w:t>
      </w:r>
      <w:r w:rsidR="00566BDE">
        <w:t xml:space="preserve">behandlet et svar til </w:t>
      </w:r>
      <w:r w:rsidR="00C777FD">
        <w:t>Energistyrelsen omkring etablering af to kystnære havvindmølleparker ved Hirtshals Havn</w:t>
      </w:r>
    </w:p>
    <w:p w14:paraId="30728BB2" w14:textId="7AA85CEB" w:rsidR="00C777FD" w:rsidRDefault="00C777FD" w:rsidP="00AF700B">
      <w:pPr>
        <w:jc w:val="both"/>
      </w:pPr>
      <w:r>
        <w:t>Energistyrelsen har gennemført en høring af</w:t>
      </w:r>
      <w:r w:rsidR="00831613">
        <w:t>,</w:t>
      </w:r>
      <w:r>
        <w:t xml:space="preserve"> om der skal igangsættes forundersøgelser til etablering af 2 kystnære havvindmølle parker</w:t>
      </w:r>
      <w:r w:rsidR="003B3B61">
        <w:t>.</w:t>
      </w:r>
    </w:p>
    <w:p w14:paraId="5D9BBD3E" w14:textId="77777777" w:rsidR="009622AC" w:rsidRDefault="003B3B61" w:rsidP="00AF700B">
      <w:pPr>
        <w:jc w:val="both"/>
      </w:pPr>
      <w:r>
        <w:t>Det er European Energy A/S der har søgt</w:t>
      </w:r>
      <w:r w:rsidR="009622AC">
        <w:t xml:space="preserve"> om begge projekter</w:t>
      </w:r>
    </w:p>
    <w:p w14:paraId="0145B372" w14:textId="1EAA77B5" w:rsidR="003B3B61" w:rsidRDefault="009622AC" w:rsidP="001C075A">
      <w:pPr>
        <w:pStyle w:val="Listeafsnit"/>
        <w:numPr>
          <w:ilvl w:val="0"/>
          <w:numId w:val="15"/>
        </w:numPr>
        <w:jc w:val="both"/>
      </w:pPr>
      <w:r>
        <w:t xml:space="preserve">I projekt 1 </w:t>
      </w:r>
      <w:r w:rsidR="003B3B61">
        <w:t>ønske</w:t>
      </w:r>
      <w:r>
        <w:t>s der</w:t>
      </w:r>
      <w:r w:rsidR="003B3B61">
        <w:t xml:space="preserve"> opstillet optil 49 vindmøller med en totalhøjde op til 270 m og med en samlet effekt på op til 350MW</w:t>
      </w:r>
    </w:p>
    <w:p w14:paraId="0CBF23E3" w14:textId="3E15B25D" w:rsidR="009622AC" w:rsidRDefault="009622AC" w:rsidP="001C075A">
      <w:pPr>
        <w:pStyle w:val="Listeafsnit"/>
        <w:numPr>
          <w:ilvl w:val="0"/>
          <w:numId w:val="15"/>
        </w:numPr>
        <w:jc w:val="both"/>
      </w:pPr>
      <w:r>
        <w:t>I projekt 2 ønskes der opstillet op til 49 vindmøller med en totalhøjde op til 300 m og en samlet effekt på til 500 MW</w:t>
      </w:r>
    </w:p>
    <w:p w14:paraId="46183396" w14:textId="5134A43B" w:rsidR="003B3B61" w:rsidRDefault="009622AC" w:rsidP="00AF700B">
      <w:pPr>
        <w:jc w:val="both"/>
      </w:pPr>
      <w:r>
        <w:t>I svaret til Energistyrelsen påpeges det blandt andet at der skal tages højde for udviklingsmulighederne på Hirtshals Havn. At</w:t>
      </w:r>
      <w:r w:rsidR="00372294">
        <w:t xml:space="preserve"> vindmølle projekterne bidrager til et lokalt forankret projekt som kan gøre en national forskel for den grønne omstilling. Hjørring Kommune ønsker en lokal </w:t>
      </w:r>
      <w:r w:rsidR="00C70F1B">
        <w:t>net tilslutning</w:t>
      </w:r>
      <w:r w:rsidR="00372294">
        <w:t xml:space="preserve">. Dette skyldes at Hjørring Kommune ifølge Evida topper listen over steder hvor der behov for infrastruktur til brint og </w:t>
      </w:r>
      <w:r w:rsidR="00372294" w:rsidRPr="00A82330">
        <w:t>C</w:t>
      </w:r>
      <w:r w:rsidR="00A82330" w:rsidRPr="00A82330">
        <w:t>O</w:t>
      </w:r>
      <w:r w:rsidR="00A82330" w:rsidRPr="00A82330">
        <w:rPr>
          <w:vertAlign w:val="subscript"/>
        </w:rPr>
        <w:t>2</w:t>
      </w:r>
      <w:r w:rsidR="00A82330">
        <w:t xml:space="preserve"> </w:t>
      </w:r>
      <w:r w:rsidR="00372294" w:rsidRPr="00A82330">
        <w:t>med</w:t>
      </w:r>
      <w:r w:rsidR="00372294">
        <w:t xml:space="preserve"> henblik på produktion af grønne brændstoffer og CO</w:t>
      </w:r>
      <w:r w:rsidR="00372294" w:rsidRPr="00372294">
        <w:rPr>
          <w:vertAlign w:val="subscript"/>
        </w:rPr>
        <w:t>2</w:t>
      </w:r>
      <w:r w:rsidR="00372294">
        <w:t>-lagering</w:t>
      </w:r>
    </w:p>
    <w:p w14:paraId="7B5AB5D2" w14:textId="4B2AD9D4" w:rsidR="00372294" w:rsidRDefault="00372294" w:rsidP="00AF700B">
      <w:pPr>
        <w:jc w:val="both"/>
      </w:pPr>
      <w:r>
        <w:t xml:space="preserve">Vindmøllerne skal på sigt levere grøn strøm til de store </w:t>
      </w:r>
      <w:r w:rsidR="003460E1">
        <w:t>anlæg for PtX</w:t>
      </w:r>
    </w:p>
    <w:p w14:paraId="56FCA72A" w14:textId="541C521B" w:rsidR="00372294" w:rsidRDefault="00372294" w:rsidP="00AF700B">
      <w:pPr>
        <w:jc w:val="both"/>
      </w:pPr>
      <w:r>
        <w:t>Se mere i link 29, 30 og 31.</w:t>
      </w:r>
    </w:p>
    <w:p w14:paraId="16D8D944" w14:textId="7C0AF416" w:rsidR="003460E1" w:rsidRPr="002676F8" w:rsidRDefault="003460E1" w:rsidP="003460E1">
      <w:pPr>
        <w:pStyle w:val="Overskrift4"/>
      </w:pPr>
      <w:r>
        <w:t>CO</w:t>
      </w:r>
      <w:r w:rsidRPr="003460E1">
        <w:rPr>
          <w:vertAlign w:val="subscript"/>
        </w:rPr>
        <w:t>2</w:t>
      </w:r>
      <w:r>
        <w:t xml:space="preserve"> fangst</w:t>
      </w:r>
    </w:p>
    <w:p w14:paraId="5D86C8F9" w14:textId="27F43AF2" w:rsidR="003460E1" w:rsidRDefault="003460E1" w:rsidP="003460E1">
      <w:pPr>
        <w:jc w:val="both"/>
      </w:pPr>
      <w:r>
        <w:t>De 7 biogasanlæg i Vendsyssel (6 i Hjørring Kommune og 1 i Brønderslev Kommune) har sammen dannet et selskab hvor de vil arbejde med CO</w:t>
      </w:r>
      <w:r w:rsidRPr="003460E1">
        <w:rPr>
          <w:vertAlign w:val="subscript"/>
        </w:rPr>
        <w:t>2</w:t>
      </w:r>
      <w:r>
        <w:t xml:space="preserve"> fangst</w:t>
      </w:r>
    </w:p>
    <w:p w14:paraId="5F860E69" w14:textId="00C9E42E" w:rsidR="003460E1" w:rsidRDefault="003460E1" w:rsidP="003460E1">
      <w:pPr>
        <w:jc w:val="both"/>
      </w:pPr>
      <w:r>
        <w:t xml:space="preserve">Der arbejdes på at bygge et anlæg til at fange </w:t>
      </w:r>
      <w:r w:rsidR="00705297">
        <w:t>CO</w:t>
      </w:r>
      <w:r w:rsidR="00705297" w:rsidRPr="00372294">
        <w:rPr>
          <w:vertAlign w:val="subscript"/>
        </w:rPr>
        <w:t>2</w:t>
      </w:r>
      <w:r>
        <w:t xml:space="preserve">, anlægget skal ligge i Hirtshals. Planen er at </w:t>
      </w:r>
      <w:r w:rsidR="00705297">
        <w:t>CO</w:t>
      </w:r>
      <w:r w:rsidR="00705297" w:rsidRPr="00372294">
        <w:rPr>
          <w:vertAlign w:val="subscript"/>
        </w:rPr>
        <w:t>2</w:t>
      </w:r>
      <w:r>
        <w:t xml:space="preserve"> i første omgang skal udskibes til Nordsøen og senere anvendes i et PtX anlæg, også beliggende i </w:t>
      </w:r>
      <w:r w:rsidR="00705297">
        <w:t>Hirtshals</w:t>
      </w:r>
      <w:r>
        <w:t>.</w:t>
      </w:r>
    </w:p>
    <w:p w14:paraId="3F6AF0FC" w14:textId="222FB863" w:rsidR="003460E1" w:rsidRDefault="003460E1" w:rsidP="003460E1">
      <w:pPr>
        <w:jc w:val="both"/>
      </w:pPr>
      <w:r>
        <w:t xml:space="preserve">Det forventes at begynde at udskibe </w:t>
      </w:r>
      <w:r w:rsidR="00705297">
        <w:t>CO</w:t>
      </w:r>
      <w:r w:rsidR="00705297" w:rsidRPr="00372294">
        <w:rPr>
          <w:vertAlign w:val="subscript"/>
        </w:rPr>
        <w:t>2</w:t>
      </w:r>
      <w:r>
        <w:t xml:space="preserve"> i løbet af 2023/20</w:t>
      </w:r>
      <w:r w:rsidR="00705297">
        <w:t>25</w:t>
      </w:r>
    </w:p>
    <w:p w14:paraId="11609016" w14:textId="08910C93" w:rsidR="00705297" w:rsidRDefault="00705297" w:rsidP="003460E1">
      <w:pPr>
        <w:jc w:val="both"/>
      </w:pPr>
      <w:r>
        <w:t>Det forventes at PtX anlægget kan tages i drift i 2028/2030</w:t>
      </w:r>
    </w:p>
    <w:p w14:paraId="41E0F2CA" w14:textId="19D58EF4" w:rsidR="00705297" w:rsidRPr="002676F8" w:rsidRDefault="00705297" w:rsidP="00705297">
      <w:pPr>
        <w:pStyle w:val="Overskrift4"/>
      </w:pPr>
      <w:r>
        <w:t>PtX anlæg</w:t>
      </w:r>
    </w:p>
    <w:p w14:paraId="653D687F" w14:textId="319384EE" w:rsidR="00705297" w:rsidRDefault="00705297" w:rsidP="00705297">
      <w:pPr>
        <w:jc w:val="both"/>
      </w:pPr>
      <w:r>
        <w:t xml:space="preserve">Der er to forskellige selskaber som har reserveret arealer i Hirtshals til at bygge PtX anlæg på. </w:t>
      </w:r>
    </w:p>
    <w:p w14:paraId="26345D03" w14:textId="63F06161" w:rsidR="00705297" w:rsidRDefault="00705297" w:rsidP="00705297">
      <w:pPr>
        <w:jc w:val="both"/>
      </w:pPr>
      <w:r>
        <w:t>Det ene selskab er i lokalområdet og der afholdes jævnligt møder med mulige samarbejdspartnere og Hjørring Kommune</w:t>
      </w:r>
    </w:p>
    <w:p w14:paraId="313BE39A" w14:textId="201A29F1" w:rsidR="00705297" w:rsidRDefault="00705297" w:rsidP="00705297">
      <w:pPr>
        <w:jc w:val="both"/>
      </w:pPr>
      <w:r>
        <w:lastRenderedPageBreak/>
        <w:t xml:space="preserve">Der startes med et pilotanlæg </w:t>
      </w:r>
      <w:r w:rsidR="00F76EB8">
        <w:t xml:space="preserve">med henblik på et </w:t>
      </w:r>
      <w:r w:rsidR="00BA305A">
        <w:t>fuldskalaanlæg</w:t>
      </w:r>
      <w:r w:rsidR="00F76EB8">
        <w:t xml:space="preserve"> i 2028/2030</w:t>
      </w:r>
    </w:p>
    <w:p w14:paraId="268E174B" w14:textId="5B67851F" w:rsidR="00DA51D7" w:rsidRDefault="00DA51D7" w:rsidP="00705297">
      <w:pPr>
        <w:jc w:val="both"/>
      </w:pPr>
      <w:r>
        <w:t xml:space="preserve">Der skal hentes grøn strøm til </w:t>
      </w:r>
      <w:r w:rsidR="00BA305A">
        <w:t>fuldskalaanlæggene</w:t>
      </w:r>
      <w:r w:rsidR="00A85683">
        <w:t xml:space="preserve"> </w:t>
      </w:r>
      <w:r>
        <w:t>fra de to kystnære vindmølleparker</w:t>
      </w:r>
    </w:p>
    <w:p w14:paraId="2466CFCC" w14:textId="0E443F02" w:rsidR="00F76EB8" w:rsidRPr="002676F8" w:rsidRDefault="00F76EB8" w:rsidP="00F76EB8">
      <w:pPr>
        <w:pStyle w:val="Overskrift4"/>
      </w:pPr>
      <w:r>
        <w:t>CCUS Fyrtårns Nordjylland</w:t>
      </w:r>
    </w:p>
    <w:p w14:paraId="47E4433E" w14:textId="054209E8" w:rsidR="00F76EB8" w:rsidRDefault="00F76EB8" w:rsidP="00F76EB8">
      <w:pPr>
        <w:jc w:val="both"/>
      </w:pPr>
      <w:r>
        <w:t>Der er søgt om og</w:t>
      </w:r>
      <w:r w:rsidR="00AA0B93">
        <w:t xml:space="preserve"> </w:t>
      </w:r>
      <w:r>
        <w:t xml:space="preserve">bevilliget </w:t>
      </w:r>
      <w:r w:rsidR="00FF04CD">
        <w:t xml:space="preserve">regional </w:t>
      </w:r>
      <w:r w:rsidR="00AA0B93">
        <w:t xml:space="preserve">fondsmidler til: </w:t>
      </w:r>
    </w:p>
    <w:p w14:paraId="73F187D7" w14:textId="77777777" w:rsidR="00AA0B93" w:rsidRDefault="00AA0B93" w:rsidP="00AA0B93">
      <w:pPr>
        <w:pStyle w:val="Listeafsnit"/>
        <w:numPr>
          <w:ilvl w:val="0"/>
          <w:numId w:val="10"/>
        </w:numPr>
      </w:pPr>
      <w:r>
        <w:t>Investering i anlæg til CO</w:t>
      </w:r>
      <w:r w:rsidRPr="00AA0B93">
        <w:rPr>
          <w:vertAlign w:val="subscript"/>
        </w:rPr>
        <w:t>2</w:t>
      </w:r>
      <w:r>
        <w:t>-fangst og CO</w:t>
      </w:r>
      <w:r w:rsidRPr="00AA0B93">
        <w:rPr>
          <w:vertAlign w:val="subscript"/>
        </w:rPr>
        <w:t>2</w:t>
      </w:r>
      <w:r>
        <w:t xml:space="preserve"> og LBG liquefaction ved GrønGas Hjørring, Gårestrupvej 179</w:t>
      </w:r>
    </w:p>
    <w:p w14:paraId="13F54243" w14:textId="77777777" w:rsidR="00AA0B93" w:rsidRDefault="00AA0B93" w:rsidP="00AA0B93">
      <w:pPr>
        <w:pStyle w:val="Listeafsnit"/>
        <w:numPr>
          <w:ilvl w:val="0"/>
          <w:numId w:val="10"/>
        </w:numPr>
      </w:pPr>
      <w:r>
        <w:t>Forprojekt for etablering af CO</w:t>
      </w:r>
      <w:r w:rsidRPr="00AA0B93">
        <w:rPr>
          <w:vertAlign w:val="subscript"/>
        </w:rPr>
        <w:t>2</w:t>
      </w:r>
      <w:r>
        <w:t>-fangst på Affaldsselskabet Vendsyssel Vest (AVV) affaldsenergianlæg på Miljøvej 8 i Hjørring</w:t>
      </w:r>
    </w:p>
    <w:p w14:paraId="42FBC142" w14:textId="433AB270" w:rsidR="00AA0B93" w:rsidRDefault="00AA0B93" w:rsidP="00AA0B93">
      <w:pPr>
        <w:pStyle w:val="Listeafsnit"/>
        <w:numPr>
          <w:ilvl w:val="0"/>
          <w:numId w:val="10"/>
        </w:numPr>
      </w:pPr>
      <w:r>
        <w:t xml:space="preserve">Beslutningsgrundlag for etablering af 30 </w:t>
      </w:r>
      <w:r w:rsidR="00336271">
        <w:t>+</w:t>
      </w:r>
      <w:r w:rsidR="00EE0974">
        <w:t xml:space="preserve"> </w:t>
      </w:r>
      <w:r>
        <w:t xml:space="preserve">70 MW metanolanlæg på Hirtshals Havn til </w:t>
      </w:r>
      <w:r w:rsidR="002E5089">
        <w:t>endelig beslutning</w:t>
      </w:r>
      <w:r>
        <w:t xml:space="preserve"> i efteråret 2023. </w:t>
      </w:r>
    </w:p>
    <w:p w14:paraId="4F31CE4D" w14:textId="77777777" w:rsidR="00AA0B93" w:rsidRDefault="00AA0B93" w:rsidP="00AA0B93">
      <w:pPr>
        <w:pStyle w:val="Listeafsnit"/>
        <w:numPr>
          <w:ilvl w:val="0"/>
          <w:numId w:val="10"/>
        </w:numPr>
      </w:pPr>
      <w:r>
        <w:t>Eksperimentel analyse og optimering af CO</w:t>
      </w:r>
      <w:r w:rsidRPr="00AA0B93">
        <w:rPr>
          <w:vertAlign w:val="subscript"/>
        </w:rPr>
        <w:t>2</w:t>
      </w:r>
      <w:r>
        <w:t>-fangst- og optimal CO</w:t>
      </w:r>
      <w:r w:rsidRPr="00AA0B93">
        <w:rPr>
          <w:vertAlign w:val="subscript"/>
        </w:rPr>
        <w:t>2</w:t>
      </w:r>
      <w:r>
        <w:t>-transport til Hirtshals havn</w:t>
      </w:r>
    </w:p>
    <w:p w14:paraId="44C44B32" w14:textId="77777777" w:rsidR="00AA0B93" w:rsidRDefault="00AA0B93" w:rsidP="00AA0B93">
      <w:pPr>
        <w:pStyle w:val="Listeafsnit"/>
        <w:numPr>
          <w:ilvl w:val="0"/>
          <w:numId w:val="10"/>
        </w:numPr>
      </w:pPr>
      <w:r>
        <w:t xml:space="preserve">Udvikling af </w:t>
      </w:r>
      <w:r w:rsidRPr="00AC723B">
        <w:t>innovationsplatform for grøn havneomstilling med fokus på grønt brændstof til skibsfart i Skandinavien</w:t>
      </w:r>
    </w:p>
    <w:p w14:paraId="3985943B" w14:textId="7DCC1B9D" w:rsidR="00AA0B93" w:rsidRDefault="00AA0B93" w:rsidP="00AA0B93">
      <w:pPr>
        <w:pStyle w:val="Listeafsnit"/>
        <w:numPr>
          <w:ilvl w:val="0"/>
          <w:numId w:val="10"/>
        </w:numPr>
      </w:pPr>
      <w:r w:rsidRPr="00AD7C6B">
        <w:t>Udarbejde samlet road</w:t>
      </w:r>
      <w:r w:rsidR="00486D61">
        <w:t xml:space="preserve"> </w:t>
      </w:r>
      <w:r w:rsidRPr="00AD7C6B">
        <w:t>map for 100% VE brændstof i Hirtshals Havn med fokus på at sikre Scan-MED korridoren grønt brændstof og et knudepunkt for produktion og distribution</w:t>
      </w:r>
      <w:r>
        <w:t>.</w:t>
      </w:r>
    </w:p>
    <w:p w14:paraId="499C4609" w14:textId="40EE74F3" w:rsidR="00AA0B93" w:rsidRDefault="00AA0B93" w:rsidP="00AA0B93">
      <w:r>
        <w:t>Projektmidlerne løber fra 1. november 2021 og til 30 juni 2023</w:t>
      </w:r>
    </w:p>
    <w:p w14:paraId="301B9521" w14:textId="0CE04D37" w:rsidR="0099399E" w:rsidRDefault="0099399E" w:rsidP="00AA0B93">
      <w:r>
        <w:t>Ansøgningen kan ses i bilag 30.2</w:t>
      </w:r>
    </w:p>
    <w:p w14:paraId="5FA1306C" w14:textId="3CF38C6F" w:rsidR="00AA0B93" w:rsidRDefault="00AA0B93" w:rsidP="00AA0B93">
      <w:r>
        <w:rPr>
          <w:rStyle w:val="Hyperlink"/>
          <w:color w:val="auto"/>
          <w:u w:val="none"/>
        </w:rPr>
        <w:t xml:space="preserve">Dette er med blik på at der i Hirtshals etableres en LBG storskala </w:t>
      </w:r>
      <w:r>
        <w:t>produktion fra 2027 samt etablering af en fyldestation for LBG fra 2023 til blandt andet Fjordline og til de mange lastbiler som kører ind og ud af Hirtshals. Det søgte anlæg forventes opskaleret på havnen i Hirtshals fra dette tidspunkt og skal således væ</w:t>
      </w:r>
      <w:r w:rsidR="00E109F8">
        <w:t xml:space="preserve">re et </w:t>
      </w:r>
      <w:r w:rsidR="00527B87">
        <w:t>pi</w:t>
      </w:r>
      <w:r w:rsidR="00E109F8">
        <w:t>lotprojekt</w:t>
      </w:r>
      <w:r>
        <w:t xml:space="preserve"> </w:t>
      </w:r>
      <w:r w:rsidR="00E66DE2">
        <w:t xml:space="preserve">for </w:t>
      </w:r>
      <w:r>
        <w:t>opsamling og nyttiggørelse af ca. 5.000 tons CO</w:t>
      </w:r>
      <w:r w:rsidRPr="00557804">
        <w:rPr>
          <w:vertAlign w:val="subscript"/>
        </w:rPr>
        <w:t>2</w:t>
      </w:r>
      <w:r>
        <w:t xml:space="preserve"> allerede fra 2023.</w:t>
      </w:r>
    </w:p>
    <w:p w14:paraId="3DBAD403" w14:textId="0ECFA238" w:rsidR="000B4B16" w:rsidRDefault="000B4B16" w:rsidP="000B4B16">
      <w:pPr>
        <w:pStyle w:val="Overskrift2"/>
      </w:pPr>
      <w:bookmarkStart w:id="6" w:name="_Toc115355328"/>
      <w:r>
        <w:t>Sammenhængene</w:t>
      </w:r>
      <w:bookmarkEnd w:id="6"/>
    </w:p>
    <w:p w14:paraId="32413888" w14:textId="2EDFE190" w:rsidR="00F76EB8" w:rsidRDefault="00375784" w:rsidP="000B4B16">
      <w:pPr>
        <w:jc w:val="both"/>
      </w:pPr>
      <w:r>
        <w:t xml:space="preserve">CCUS Fyrtårns projektet er det som ligger bag </w:t>
      </w:r>
      <w:r w:rsidR="00594C39">
        <w:t>målet i 2030 for et 100 MW anlæg</w:t>
      </w:r>
    </w:p>
    <w:p w14:paraId="08490ECB" w14:textId="24F86052" w:rsidR="00594C39" w:rsidRPr="00705297" w:rsidRDefault="00594C39" w:rsidP="000B4B16">
      <w:pPr>
        <w:jc w:val="both"/>
        <w:rPr>
          <w:rStyle w:val="Hyperlink"/>
          <w:color w:val="auto"/>
          <w:u w:val="none"/>
        </w:rPr>
      </w:pPr>
      <w:r>
        <w:t>De øvrige projekter er dem som ligger bag målet i 2030.</w:t>
      </w:r>
    </w:p>
    <w:sectPr w:rsidR="00594C39" w:rsidRPr="00705297">
      <w:footerReference w:type="default" r:id="rId11"/>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73F317" w14:textId="77777777" w:rsidR="00DB7181" w:rsidRDefault="00DB7181" w:rsidP="00AB406A">
      <w:pPr>
        <w:spacing w:after="0" w:line="240" w:lineRule="auto"/>
      </w:pPr>
      <w:r>
        <w:separator/>
      </w:r>
    </w:p>
  </w:endnote>
  <w:endnote w:type="continuationSeparator" w:id="0">
    <w:p w14:paraId="7D59AF97" w14:textId="77777777" w:rsidR="00DB7181" w:rsidRDefault="00DB7181" w:rsidP="00AB406A">
      <w:pPr>
        <w:spacing w:after="0" w:line="240" w:lineRule="auto"/>
      </w:pPr>
      <w:r>
        <w:continuationSeparator/>
      </w:r>
    </w:p>
  </w:endnote>
  <w:endnote w:type="continuationNotice" w:id="1">
    <w:p w14:paraId="735BB701" w14:textId="77777777" w:rsidR="00DB7181" w:rsidRDefault="00DB718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1726130"/>
      <w:docPartObj>
        <w:docPartGallery w:val="Page Numbers (Bottom of Page)"/>
        <w:docPartUnique/>
      </w:docPartObj>
    </w:sdtPr>
    <w:sdtContent>
      <w:p w14:paraId="3C10A916" w14:textId="787E2861" w:rsidR="00AB406A" w:rsidRDefault="00AB406A">
        <w:pPr>
          <w:pStyle w:val="Sidefod"/>
          <w:jc w:val="right"/>
        </w:pPr>
        <w:r>
          <w:fldChar w:fldCharType="begin"/>
        </w:r>
        <w:r>
          <w:instrText>PAGE   \* MERGEFORMAT</w:instrText>
        </w:r>
        <w:r>
          <w:fldChar w:fldCharType="separate"/>
        </w:r>
        <w:r>
          <w:t>2</w:t>
        </w:r>
        <w:r>
          <w:fldChar w:fldCharType="end"/>
        </w:r>
      </w:p>
    </w:sdtContent>
  </w:sdt>
  <w:p w14:paraId="75A62CF2" w14:textId="77777777" w:rsidR="00AB406A" w:rsidRDefault="00AB406A">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9DC8D0" w14:textId="77777777" w:rsidR="00DB7181" w:rsidRDefault="00DB7181" w:rsidP="00AB406A">
      <w:pPr>
        <w:spacing w:after="0" w:line="240" w:lineRule="auto"/>
      </w:pPr>
      <w:r>
        <w:separator/>
      </w:r>
    </w:p>
  </w:footnote>
  <w:footnote w:type="continuationSeparator" w:id="0">
    <w:p w14:paraId="3D37278A" w14:textId="77777777" w:rsidR="00DB7181" w:rsidRDefault="00DB7181" w:rsidP="00AB406A">
      <w:pPr>
        <w:spacing w:after="0" w:line="240" w:lineRule="auto"/>
      </w:pPr>
      <w:r>
        <w:continuationSeparator/>
      </w:r>
    </w:p>
  </w:footnote>
  <w:footnote w:type="continuationNotice" w:id="1">
    <w:p w14:paraId="526E8186" w14:textId="77777777" w:rsidR="00DB7181" w:rsidRDefault="00DB7181">
      <w:pPr>
        <w:spacing w:after="0" w:line="240" w:lineRule="auto"/>
      </w:pPr>
    </w:p>
  </w:footnote>
  <w:footnote w:id="2">
    <w:p w14:paraId="6F3D7E4D" w14:textId="77777777" w:rsidR="001A1640" w:rsidRDefault="001A1640" w:rsidP="001A1640">
      <w:pPr>
        <w:pStyle w:val="Fodnotetekst"/>
      </w:pPr>
      <w:r>
        <w:rPr>
          <w:rStyle w:val="Fodnotehenvisning"/>
        </w:rPr>
        <w:footnoteRef/>
      </w:r>
      <w:r>
        <w:t xml:space="preserve"> </w:t>
      </w:r>
      <w:r>
        <w:rPr>
          <w:color w:val="1F4429" w:themeColor="accent5" w:themeShade="80"/>
        </w:rPr>
        <w:t>Handlingspunktet følges løbende og tilpasses iterativt, når projektet bliver mere konkret, og valide forudsætninger ang. den endelige anvendelse af brændstoffet kendes.</w:t>
      </w:r>
    </w:p>
  </w:footnote>
  <w:footnote w:id="3">
    <w:p w14:paraId="25233248" w14:textId="77777777" w:rsidR="001A1640" w:rsidRDefault="001A1640" w:rsidP="001A1640">
      <w:pPr>
        <w:pStyle w:val="Fodnotetekst"/>
      </w:pPr>
      <w:r>
        <w:rPr>
          <w:rStyle w:val="Fodnotehenvisning"/>
        </w:rPr>
        <w:footnoteRef/>
      </w:r>
      <w:r>
        <w:t xml:space="preserve"> </w:t>
      </w:r>
      <w:r>
        <w:rPr>
          <w:color w:val="1F4429" w:themeColor="accent5" w:themeShade="80"/>
        </w:rPr>
        <w:t>Dvs. at én TJ metanol fra PtX erstatter én TJ fossil dieselolie. Dermed beregnes CO</w:t>
      </w:r>
      <w:r>
        <w:rPr>
          <w:color w:val="1F4429" w:themeColor="accent5" w:themeShade="80"/>
          <w:vertAlign w:val="subscript"/>
        </w:rPr>
        <w:t>2</w:t>
      </w:r>
      <w:r>
        <w:rPr>
          <w:color w:val="1F4429" w:themeColor="accent5" w:themeShade="80"/>
        </w:rPr>
        <w:t>-effekten fra PtX/metanolproduktionen ud fra en emissionskoefficient på 74,1 ton CO</w:t>
      </w:r>
      <w:r>
        <w:rPr>
          <w:color w:val="1F4429" w:themeColor="accent5" w:themeShade="80"/>
          <w:vertAlign w:val="subscript"/>
        </w:rPr>
        <w:t>2</w:t>
      </w:r>
      <w:r>
        <w:rPr>
          <w:color w:val="1F4429" w:themeColor="accent5" w:themeShade="80"/>
        </w:rPr>
        <w:t>/TJ produceret metanol.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C4567"/>
    <w:multiLevelType w:val="multilevel"/>
    <w:tmpl w:val="7DEC6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B044659"/>
    <w:multiLevelType w:val="hybridMultilevel"/>
    <w:tmpl w:val="F1A4CB20"/>
    <w:lvl w:ilvl="0" w:tplc="0406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05D70B7"/>
    <w:multiLevelType w:val="multilevel"/>
    <w:tmpl w:val="C2027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52F5323"/>
    <w:multiLevelType w:val="multilevel"/>
    <w:tmpl w:val="6436F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7050149"/>
    <w:multiLevelType w:val="hybridMultilevel"/>
    <w:tmpl w:val="F3269178"/>
    <w:lvl w:ilvl="0" w:tplc="924C135C">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46C36B6F"/>
    <w:multiLevelType w:val="hybridMultilevel"/>
    <w:tmpl w:val="CE0061DC"/>
    <w:lvl w:ilvl="0" w:tplc="0406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474B5882"/>
    <w:multiLevelType w:val="multilevel"/>
    <w:tmpl w:val="8E4EE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78D1293"/>
    <w:multiLevelType w:val="hybridMultilevel"/>
    <w:tmpl w:val="9CD4E0A6"/>
    <w:lvl w:ilvl="0" w:tplc="04060013">
      <w:start w:val="1"/>
      <w:numFmt w:val="upperRoman"/>
      <w:lvlText w:val="%1."/>
      <w:lvlJc w:val="right"/>
      <w:pPr>
        <w:ind w:left="770" w:hanging="360"/>
      </w:pPr>
      <w:rPr>
        <w:rFonts w:hint="default"/>
      </w:rPr>
    </w:lvl>
    <w:lvl w:ilvl="1" w:tplc="FFFFFFFF" w:tentative="1">
      <w:start w:val="1"/>
      <w:numFmt w:val="bullet"/>
      <w:lvlText w:val="o"/>
      <w:lvlJc w:val="left"/>
      <w:pPr>
        <w:ind w:left="1490" w:hanging="360"/>
      </w:pPr>
      <w:rPr>
        <w:rFonts w:ascii="Courier New" w:hAnsi="Courier New" w:cs="Courier New" w:hint="default"/>
      </w:rPr>
    </w:lvl>
    <w:lvl w:ilvl="2" w:tplc="FFFFFFFF" w:tentative="1">
      <w:start w:val="1"/>
      <w:numFmt w:val="bullet"/>
      <w:lvlText w:val=""/>
      <w:lvlJc w:val="left"/>
      <w:pPr>
        <w:ind w:left="2210" w:hanging="360"/>
      </w:pPr>
      <w:rPr>
        <w:rFonts w:ascii="Wingdings" w:hAnsi="Wingdings" w:hint="default"/>
      </w:rPr>
    </w:lvl>
    <w:lvl w:ilvl="3" w:tplc="FFFFFFFF" w:tentative="1">
      <w:start w:val="1"/>
      <w:numFmt w:val="bullet"/>
      <w:lvlText w:val=""/>
      <w:lvlJc w:val="left"/>
      <w:pPr>
        <w:ind w:left="2930" w:hanging="360"/>
      </w:pPr>
      <w:rPr>
        <w:rFonts w:ascii="Symbol" w:hAnsi="Symbol" w:hint="default"/>
      </w:rPr>
    </w:lvl>
    <w:lvl w:ilvl="4" w:tplc="FFFFFFFF" w:tentative="1">
      <w:start w:val="1"/>
      <w:numFmt w:val="bullet"/>
      <w:lvlText w:val="o"/>
      <w:lvlJc w:val="left"/>
      <w:pPr>
        <w:ind w:left="3650" w:hanging="360"/>
      </w:pPr>
      <w:rPr>
        <w:rFonts w:ascii="Courier New" w:hAnsi="Courier New" w:cs="Courier New" w:hint="default"/>
      </w:rPr>
    </w:lvl>
    <w:lvl w:ilvl="5" w:tplc="FFFFFFFF" w:tentative="1">
      <w:start w:val="1"/>
      <w:numFmt w:val="bullet"/>
      <w:lvlText w:val=""/>
      <w:lvlJc w:val="left"/>
      <w:pPr>
        <w:ind w:left="4370" w:hanging="360"/>
      </w:pPr>
      <w:rPr>
        <w:rFonts w:ascii="Wingdings" w:hAnsi="Wingdings" w:hint="default"/>
      </w:rPr>
    </w:lvl>
    <w:lvl w:ilvl="6" w:tplc="FFFFFFFF" w:tentative="1">
      <w:start w:val="1"/>
      <w:numFmt w:val="bullet"/>
      <w:lvlText w:val=""/>
      <w:lvlJc w:val="left"/>
      <w:pPr>
        <w:ind w:left="5090" w:hanging="360"/>
      </w:pPr>
      <w:rPr>
        <w:rFonts w:ascii="Symbol" w:hAnsi="Symbol" w:hint="default"/>
      </w:rPr>
    </w:lvl>
    <w:lvl w:ilvl="7" w:tplc="FFFFFFFF" w:tentative="1">
      <w:start w:val="1"/>
      <w:numFmt w:val="bullet"/>
      <w:lvlText w:val="o"/>
      <w:lvlJc w:val="left"/>
      <w:pPr>
        <w:ind w:left="5810" w:hanging="360"/>
      </w:pPr>
      <w:rPr>
        <w:rFonts w:ascii="Courier New" w:hAnsi="Courier New" w:cs="Courier New" w:hint="default"/>
      </w:rPr>
    </w:lvl>
    <w:lvl w:ilvl="8" w:tplc="FFFFFFFF" w:tentative="1">
      <w:start w:val="1"/>
      <w:numFmt w:val="bullet"/>
      <w:lvlText w:val=""/>
      <w:lvlJc w:val="left"/>
      <w:pPr>
        <w:ind w:left="6530" w:hanging="360"/>
      </w:pPr>
      <w:rPr>
        <w:rFonts w:ascii="Wingdings" w:hAnsi="Wingdings" w:hint="default"/>
      </w:rPr>
    </w:lvl>
  </w:abstractNum>
  <w:abstractNum w:abstractNumId="8" w15:restartNumberingAfterBreak="0">
    <w:nsid w:val="5CE216FA"/>
    <w:multiLevelType w:val="hybridMultilevel"/>
    <w:tmpl w:val="007021C2"/>
    <w:lvl w:ilvl="0" w:tplc="924C135C">
      <w:numFmt w:val="bullet"/>
      <w:lvlText w:val="-"/>
      <w:lvlJc w:val="left"/>
      <w:pPr>
        <w:ind w:left="720" w:hanging="360"/>
      </w:pPr>
      <w:rPr>
        <w:rFonts w:ascii="Calibri" w:eastAsiaTheme="minorHAns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5EA23B51"/>
    <w:multiLevelType w:val="multilevel"/>
    <w:tmpl w:val="9FDC6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32A215B"/>
    <w:multiLevelType w:val="multilevel"/>
    <w:tmpl w:val="B8229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6D25093"/>
    <w:multiLevelType w:val="hybridMultilevel"/>
    <w:tmpl w:val="D8DC0E68"/>
    <w:lvl w:ilvl="0" w:tplc="0406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756A3E43"/>
    <w:multiLevelType w:val="multilevel"/>
    <w:tmpl w:val="C0CCDA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BE72A86"/>
    <w:multiLevelType w:val="hybridMultilevel"/>
    <w:tmpl w:val="29CCF65A"/>
    <w:lvl w:ilvl="0" w:tplc="0406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624845921">
    <w:abstractNumId w:val="12"/>
  </w:num>
  <w:num w:numId="2" w16cid:durableId="596060637">
    <w:abstractNumId w:val="6"/>
  </w:num>
  <w:num w:numId="3" w16cid:durableId="928080157">
    <w:abstractNumId w:val="9"/>
  </w:num>
  <w:num w:numId="4" w16cid:durableId="1596668308">
    <w:abstractNumId w:val="3"/>
  </w:num>
  <w:num w:numId="5" w16cid:durableId="676545049">
    <w:abstractNumId w:val="2"/>
  </w:num>
  <w:num w:numId="6" w16cid:durableId="1956519775">
    <w:abstractNumId w:val="0"/>
  </w:num>
  <w:num w:numId="7" w16cid:durableId="651444408">
    <w:abstractNumId w:val="10"/>
  </w:num>
  <w:num w:numId="8" w16cid:durableId="764761665">
    <w:abstractNumId w:val="8"/>
  </w:num>
  <w:num w:numId="9" w16cid:durableId="763839086">
    <w:abstractNumId w:val="7"/>
  </w:num>
  <w:num w:numId="10" w16cid:durableId="1629041941">
    <w:abstractNumId w:val="4"/>
  </w:num>
  <w:num w:numId="11" w16cid:durableId="458108333">
    <w:abstractNumId w:val="8"/>
  </w:num>
  <w:num w:numId="12" w16cid:durableId="1525941804">
    <w:abstractNumId w:val="11"/>
  </w:num>
  <w:num w:numId="13" w16cid:durableId="74518798">
    <w:abstractNumId w:val="1"/>
  </w:num>
  <w:num w:numId="14" w16cid:durableId="1090856951">
    <w:abstractNumId w:val="5"/>
  </w:num>
  <w:num w:numId="15" w16cid:durableId="213818074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1304"/>
  <w:autoHyphenation/>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7ED2"/>
    <w:rsid w:val="000250B1"/>
    <w:rsid w:val="00026437"/>
    <w:rsid w:val="00035E5B"/>
    <w:rsid w:val="00050991"/>
    <w:rsid w:val="00064494"/>
    <w:rsid w:val="00092592"/>
    <w:rsid w:val="000B4B16"/>
    <w:rsid w:val="000C7AAF"/>
    <w:rsid w:val="000F597E"/>
    <w:rsid w:val="000F6994"/>
    <w:rsid w:val="00160C83"/>
    <w:rsid w:val="001A1640"/>
    <w:rsid w:val="001B3357"/>
    <w:rsid w:val="001C075A"/>
    <w:rsid w:val="001C3DFB"/>
    <w:rsid w:val="0020108E"/>
    <w:rsid w:val="00247872"/>
    <w:rsid w:val="00254C4C"/>
    <w:rsid w:val="002676F8"/>
    <w:rsid w:val="002752CE"/>
    <w:rsid w:val="00280D28"/>
    <w:rsid w:val="002A74A0"/>
    <w:rsid w:val="002C5F00"/>
    <w:rsid w:val="002C71A9"/>
    <w:rsid w:val="002E05E1"/>
    <w:rsid w:val="002E3CF6"/>
    <w:rsid w:val="002E5089"/>
    <w:rsid w:val="002F771C"/>
    <w:rsid w:val="00323ABF"/>
    <w:rsid w:val="00323C92"/>
    <w:rsid w:val="00336271"/>
    <w:rsid w:val="00341791"/>
    <w:rsid w:val="003460E1"/>
    <w:rsid w:val="0036042B"/>
    <w:rsid w:val="00372294"/>
    <w:rsid w:val="00375784"/>
    <w:rsid w:val="003A03FF"/>
    <w:rsid w:val="003A5571"/>
    <w:rsid w:val="003B3B61"/>
    <w:rsid w:val="003D65E6"/>
    <w:rsid w:val="003F5384"/>
    <w:rsid w:val="00414676"/>
    <w:rsid w:val="0041590C"/>
    <w:rsid w:val="0042180D"/>
    <w:rsid w:val="004509CD"/>
    <w:rsid w:val="00486D61"/>
    <w:rsid w:val="004A1794"/>
    <w:rsid w:val="004A318B"/>
    <w:rsid w:val="004C1693"/>
    <w:rsid w:val="004C2A31"/>
    <w:rsid w:val="004E6626"/>
    <w:rsid w:val="0052430B"/>
    <w:rsid w:val="00527B87"/>
    <w:rsid w:val="00546A17"/>
    <w:rsid w:val="00561CCA"/>
    <w:rsid w:val="00566BDE"/>
    <w:rsid w:val="00594C39"/>
    <w:rsid w:val="005C4110"/>
    <w:rsid w:val="005D1932"/>
    <w:rsid w:val="00625EDC"/>
    <w:rsid w:val="00631813"/>
    <w:rsid w:val="00656344"/>
    <w:rsid w:val="00672153"/>
    <w:rsid w:val="006732B1"/>
    <w:rsid w:val="00697ED2"/>
    <w:rsid w:val="006C1B6E"/>
    <w:rsid w:val="00705297"/>
    <w:rsid w:val="00707C3D"/>
    <w:rsid w:val="00724BFD"/>
    <w:rsid w:val="007270D7"/>
    <w:rsid w:val="007356A5"/>
    <w:rsid w:val="00796BFF"/>
    <w:rsid w:val="007D04FA"/>
    <w:rsid w:val="00802CFD"/>
    <w:rsid w:val="00803D6D"/>
    <w:rsid w:val="00811CB5"/>
    <w:rsid w:val="00831613"/>
    <w:rsid w:val="00845232"/>
    <w:rsid w:val="0085442E"/>
    <w:rsid w:val="0086342A"/>
    <w:rsid w:val="00872ED1"/>
    <w:rsid w:val="00875684"/>
    <w:rsid w:val="008813D2"/>
    <w:rsid w:val="0088344E"/>
    <w:rsid w:val="00897F34"/>
    <w:rsid w:val="008D0A45"/>
    <w:rsid w:val="008E4F2F"/>
    <w:rsid w:val="009070ED"/>
    <w:rsid w:val="00912262"/>
    <w:rsid w:val="00926163"/>
    <w:rsid w:val="009607B7"/>
    <w:rsid w:val="009622AC"/>
    <w:rsid w:val="00976CE5"/>
    <w:rsid w:val="0098625E"/>
    <w:rsid w:val="00986715"/>
    <w:rsid w:val="0099399E"/>
    <w:rsid w:val="009A1B8A"/>
    <w:rsid w:val="009A56CC"/>
    <w:rsid w:val="009A73DB"/>
    <w:rsid w:val="009B6BC6"/>
    <w:rsid w:val="00A3581C"/>
    <w:rsid w:val="00A64CE4"/>
    <w:rsid w:val="00A819AE"/>
    <w:rsid w:val="00A82330"/>
    <w:rsid w:val="00A85683"/>
    <w:rsid w:val="00AA0B93"/>
    <w:rsid w:val="00AB0C10"/>
    <w:rsid w:val="00AB406A"/>
    <w:rsid w:val="00AB7FCE"/>
    <w:rsid w:val="00AC27D4"/>
    <w:rsid w:val="00AF700B"/>
    <w:rsid w:val="00B251E2"/>
    <w:rsid w:val="00B3012A"/>
    <w:rsid w:val="00B3205B"/>
    <w:rsid w:val="00B7450E"/>
    <w:rsid w:val="00BA305A"/>
    <w:rsid w:val="00C172F1"/>
    <w:rsid w:val="00C2515A"/>
    <w:rsid w:val="00C27E6E"/>
    <w:rsid w:val="00C57393"/>
    <w:rsid w:val="00C70F1B"/>
    <w:rsid w:val="00C77641"/>
    <w:rsid w:val="00C777FD"/>
    <w:rsid w:val="00CB3B45"/>
    <w:rsid w:val="00CD4389"/>
    <w:rsid w:val="00D11827"/>
    <w:rsid w:val="00D22A6D"/>
    <w:rsid w:val="00D23385"/>
    <w:rsid w:val="00D6734E"/>
    <w:rsid w:val="00DA51D7"/>
    <w:rsid w:val="00DB7181"/>
    <w:rsid w:val="00DC4B23"/>
    <w:rsid w:val="00DE0F48"/>
    <w:rsid w:val="00DE31DB"/>
    <w:rsid w:val="00E109F8"/>
    <w:rsid w:val="00E21C25"/>
    <w:rsid w:val="00E27885"/>
    <w:rsid w:val="00E66DE2"/>
    <w:rsid w:val="00E774AE"/>
    <w:rsid w:val="00EA77D7"/>
    <w:rsid w:val="00EB0F6A"/>
    <w:rsid w:val="00EB284A"/>
    <w:rsid w:val="00EC1668"/>
    <w:rsid w:val="00EE0974"/>
    <w:rsid w:val="00EF6665"/>
    <w:rsid w:val="00F31341"/>
    <w:rsid w:val="00F37496"/>
    <w:rsid w:val="00F7185E"/>
    <w:rsid w:val="00F76589"/>
    <w:rsid w:val="00F76EB8"/>
    <w:rsid w:val="00F94FAC"/>
    <w:rsid w:val="00FC594E"/>
    <w:rsid w:val="00FC5B5B"/>
    <w:rsid w:val="00FE5AD7"/>
    <w:rsid w:val="00FE6490"/>
    <w:rsid w:val="00FF04CD"/>
    <w:rsid w:val="0F011AAE"/>
    <w:rsid w:val="20E8EB68"/>
    <w:rsid w:val="2B7A742B"/>
    <w:rsid w:val="2F69331E"/>
    <w:rsid w:val="375B1CA6"/>
    <w:rsid w:val="3CAB96EE"/>
    <w:rsid w:val="4DE86F7A"/>
    <w:rsid w:val="5361361C"/>
    <w:rsid w:val="5B9442BD"/>
    <w:rsid w:val="78FFAEF0"/>
    <w:rsid w:val="7FC0F35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735C86"/>
  <w15:chartTrackingRefBased/>
  <w15:docId w15:val="{14110FB0-A897-4D22-A5D3-4C1FE18E7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2676F8"/>
    <w:pPr>
      <w:keepNext/>
      <w:keepLines/>
      <w:spacing w:before="240" w:after="0"/>
      <w:outlineLvl w:val="0"/>
    </w:pPr>
    <w:rPr>
      <w:rFonts w:asciiTheme="majorHAnsi" w:eastAsiaTheme="majorEastAsia" w:hAnsiTheme="majorHAnsi" w:cstheme="majorBidi"/>
      <w:color w:val="1481AB" w:themeColor="accent1" w:themeShade="BF"/>
      <w:sz w:val="32"/>
      <w:szCs w:val="32"/>
    </w:rPr>
  </w:style>
  <w:style w:type="paragraph" w:styleId="Overskrift2">
    <w:name w:val="heading 2"/>
    <w:basedOn w:val="Normal"/>
    <w:next w:val="Normal"/>
    <w:link w:val="Overskrift2Tegn"/>
    <w:uiPriority w:val="9"/>
    <w:unhideWhenUsed/>
    <w:qFormat/>
    <w:rsid w:val="002676F8"/>
    <w:pPr>
      <w:keepNext/>
      <w:keepLines/>
      <w:spacing w:before="40" w:after="0"/>
      <w:outlineLvl w:val="1"/>
    </w:pPr>
    <w:rPr>
      <w:rFonts w:asciiTheme="majorHAnsi" w:eastAsiaTheme="majorEastAsia" w:hAnsiTheme="majorHAnsi" w:cstheme="majorBidi"/>
      <w:color w:val="1481AB" w:themeColor="accent1" w:themeShade="BF"/>
      <w:sz w:val="26"/>
      <w:szCs w:val="26"/>
    </w:rPr>
  </w:style>
  <w:style w:type="paragraph" w:styleId="Overskrift3">
    <w:name w:val="heading 3"/>
    <w:basedOn w:val="Normal"/>
    <w:link w:val="Overskrift3Tegn"/>
    <w:uiPriority w:val="9"/>
    <w:qFormat/>
    <w:rsid w:val="009070ED"/>
    <w:pPr>
      <w:spacing w:before="100" w:beforeAutospacing="1" w:after="100" w:afterAutospacing="1" w:line="240" w:lineRule="auto"/>
      <w:outlineLvl w:val="2"/>
    </w:pPr>
    <w:rPr>
      <w:rFonts w:ascii="Times New Roman" w:eastAsia="Times New Roman" w:hAnsi="Times New Roman" w:cs="Times New Roman"/>
      <w:b/>
      <w:bCs/>
      <w:sz w:val="27"/>
      <w:szCs w:val="27"/>
      <w:lang w:eastAsia="da-DK"/>
    </w:rPr>
  </w:style>
  <w:style w:type="paragraph" w:styleId="Overskrift4">
    <w:name w:val="heading 4"/>
    <w:basedOn w:val="Normal"/>
    <w:next w:val="Normal"/>
    <w:link w:val="Overskrift4Tegn"/>
    <w:uiPriority w:val="9"/>
    <w:unhideWhenUsed/>
    <w:qFormat/>
    <w:rsid w:val="007D04FA"/>
    <w:pPr>
      <w:keepNext/>
      <w:keepLines/>
      <w:spacing w:before="40" w:after="0"/>
      <w:outlineLvl w:val="3"/>
    </w:pPr>
    <w:rPr>
      <w:rFonts w:asciiTheme="majorHAnsi" w:eastAsiaTheme="majorEastAsia" w:hAnsiTheme="majorHAnsi" w:cstheme="majorBidi"/>
      <w:i/>
      <w:iCs/>
      <w:color w:val="1481AB" w:themeColor="accent1" w:themeShade="BF"/>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631813"/>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Hyperlink">
    <w:name w:val="Hyperlink"/>
    <w:basedOn w:val="Standardskrifttypeiafsnit"/>
    <w:uiPriority w:val="99"/>
    <w:unhideWhenUsed/>
    <w:rsid w:val="00631813"/>
    <w:rPr>
      <w:color w:val="0000FF"/>
      <w:u w:val="single"/>
    </w:rPr>
  </w:style>
  <w:style w:type="character" w:styleId="Fremhv">
    <w:name w:val="Emphasis"/>
    <w:basedOn w:val="Standardskrifttypeiafsnit"/>
    <w:uiPriority w:val="20"/>
    <w:qFormat/>
    <w:rsid w:val="004509CD"/>
    <w:rPr>
      <w:i/>
      <w:iCs/>
    </w:rPr>
  </w:style>
  <w:style w:type="character" w:customStyle="1" w:styleId="Overskrift3Tegn">
    <w:name w:val="Overskrift 3 Tegn"/>
    <w:basedOn w:val="Standardskrifttypeiafsnit"/>
    <w:link w:val="Overskrift3"/>
    <w:uiPriority w:val="9"/>
    <w:rsid w:val="009070ED"/>
    <w:rPr>
      <w:rFonts w:ascii="Times New Roman" w:eastAsia="Times New Roman" w:hAnsi="Times New Roman" w:cs="Times New Roman"/>
      <w:b/>
      <w:bCs/>
      <w:sz w:val="27"/>
      <w:szCs w:val="27"/>
      <w:lang w:eastAsia="da-DK"/>
    </w:rPr>
  </w:style>
  <w:style w:type="character" w:customStyle="1" w:styleId="Overskrift1Tegn">
    <w:name w:val="Overskrift 1 Tegn"/>
    <w:basedOn w:val="Standardskrifttypeiafsnit"/>
    <w:link w:val="Overskrift1"/>
    <w:uiPriority w:val="9"/>
    <w:rsid w:val="002676F8"/>
    <w:rPr>
      <w:rFonts w:asciiTheme="majorHAnsi" w:eastAsiaTheme="majorEastAsia" w:hAnsiTheme="majorHAnsi" w:cstheme="majorBidi"/>
      <w:color w:val="1481AB" w:themeColor="accent1" w:themeShade="BF"/>
      <w:sz w:val="32"/>
      <w:szCs w:val="32"/>
    </w:rPr>
  </w:style>
  <w:style w:type="character" w:customStyle="1" w:styleId="Overskrift2Tegn">
    <w:name w:val="Overskrift 2 Tegn"/>
    <w:basedOn w:val="Standardskrifttypeiafsnit"/>
    <w:link w:val="Overskrift2"/>
    <w:uiPriority w:val="9"/>
    <w:rsid w:val="002676F8"/>
    <w:rPr>
      <w:rFonts w:asciiTheme="majorHAnsi" w:eastAsiaTheme="majorEastAsia" w:hAnsiTheme="majorHAnsi" w:cstheme="majorBidi"/>
      <w:color w:val="1481AB" w:themeColor="accent1" w:themeShade="BF"/>
      <w:sz w:val="26"/>
      <w:szCs w:val="26"/>
    </w:rPr>
  </w:style>
  <w:style w:type="character" w:customStyle="1" w:styleId="Overskrift4Tegn">
    <w:name w:val="Overskrift 4 Tegn"/>
    <w:basedOn w:val="Standardskrifttypeiafsnit"/>
    <w:link w:val="Overskrift4"/>
    <w:uiPriority w:val="9"/>
    <w:rsid w:val="007D04FA"/>
    <w:rPr>
      <w:rFonts w:asciiTheme="majorHAnsi" w:eastAsiaTheme="majorEastAsia" w:hAnsiTheme="majorHAnsi" w:cstheme="majorBidi"/>
      <w:i/>
      <w:iCs/>
      <w:color w:val="1481AB" w:themeColor="accent1" w:themeShade="BF"/>
    </w:rPr>
  </w:style>
  <w:style w:type="paragraph" w:styleId="Sidehoved">
    <w:name w:val="header"/>
    <w:basedOn w:val="Normal"/>
    <w:link w:val="SidehovedTegn"/>
    <w:uiPriority w:val="99"/>
    <w:unhideWhenUsed/>
    <w:rsid w:val="00AB406A"/>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AB406A"/>
  </w:style>
  <w:style w:type="paragraph" w:styleId="Sidefod">
    <w:name w:val="footer"/>
    <w:basedOn w:val="Normal"/>
    <w:link w:val="SidefodTegn"/>
    <w:uiPriority w:val="99"/>
    <w:unhideWhenUsed/>
    <w:rsid w:val="00AB406A"/>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AB406A"/>
  </w:style>
  <w:style w:type="paragraph" w:styleId="Overskrift">
    <w:name w:val="TOC Heading"/>
    <w:basedOn w:val="Overskrift1"/>
    <w:next w:val="Normal"/>
    <w:uiPriority w:val="39"/>
    <w:unhideWhenUsed/>
    <w:qFormat/>
    <w:rsid w:val="00C57393"/>
    <w:pPr>
      <w:outlineLvl w:val="9"/>
    </w:pPr>
    <w:rPr>
      <w:lang w:eastAsia="da-DK"/>
    </w:rPr>
  </w:style>
  <w:style w:type="paragraph" w:styleId="Indholdsfortegnelse1">
    <w:name w:val="toc 1"/>
    <w:basedOn w:val="Normal"/>
    <w:next w:val="Normal"/>
    <w:autoRedefine/>
    <w:uiPriority w:val="39"/>
    <w:unhideWhenUsed/>
    <w:rsid w:val="00C57393"/>
    <w:pPr>
      <w:spacing w:after="100"/>
    </w:pPr>
  </w:style>
  <w:style w:type="paragraph" w:styleId="Indholdsfortegnelse2">
    <w:name w:val="toc 2"/>
    <w:basedOn w:val="Normal"/>
    <w:next w:val="Normal"/>
    <w:autoRedefine/>
    <w:uiPriority w:val="39"/>
    <w:unhideWhenUsed/>
    <w:rsid w:val="00C57393"/>
    <w:pPr>
      <w:spacing w:after="100"/>
      <w:ind w:left="220"/>
    </w:pPr>
  </w:style>
  <w:style w:type="paragraph" w:styleId="Kommentartekst">
    <w:name w:val="annotation text"/>
    <w:basedOn w:val="Normal"/>
    <w:link w:val="KommentartekstTegn"/>
    <w:uiPriority w:val="99"/>
    <w:unhideWhenUsed/>
    <w:rsid w:val="00064494"/>
    <w:pPr>
      <w:spacing w:line="240" w:lineRule="auto"/>
    </w:pPr>
    <w:rPr>
      <w:sz w:val="20"/>
      <w:szCs w:val="20"/>
    </w:rPr>
  </w:style>
  <w:style w:type="character" w:customStyle="1" w:styleId="KommentartekstTegn">
    <w:name w:val="Kommentartekst Tegn"/>
    <w:basedOn w:val="Standardskrifttypeiafsnit"/>
    <w:link w:val="Kommentartekst"/>
    <w:uiPriority w:val="99"/>
    <w:rsid w:val="00064494"/>
    <w:rPr>
      <w:sz w:val="20"/>
      <w:szCs w:val="20"/>
    </w:rPr>
  </w:style>
  <w:style w:type="character" w:styleId="Kommentarhenvisning">
    <w:name w:val="annotation reference"/>
    <w:basedOn w:val="Standardskrifttypeiafsnit"/>
    <w:uiPriority w:val="99"/>
    <w:semiHidden/>
    <w:unhideWhenUsed/>
    <w:rsid w:val="00064494"/>
    <w:rPr>
      <w:sz w:val="16"/>
      <w:szCs w:val="16"/>
    </w:rPr>
  </w:style>
  <w:style w:type="paragraph" w:styleId="Listeafsnit">
    <w:name w:val="List Paragraph"/>
    <w:basedOn w:val="Normal"/>
    <w:uiPriority w:val="34"/>
    <w:qFormat/>
    <w:rsid w:val="002E3CF6"/>
    <w:pPr>
      <w:ind w:left="720"/>
      <w:contextualSpacing/>
    </w:pPr>
  </w:style>
  <w:style w:type="table" w:styleId="Tabel-Gitter">
    <w:name w:val="Table Grid"/>
    <w:basedOn w:val="Tabel-Normal"/>
    <w:uiPriority w:val="39"/>
    <w:rsid w:val="00B745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etabel1-lys-farve6">
    <w:name w:val="List Table 1 Light Accent 6"/>
    <w:basedOn w:val="Tabel-Normal"/>
    <w:uiPriority w:val="46"/>
    <w:rsid w:val="00B7450E"/>
    <w:pPr>
      <w:spacing w:after="0" w:line="240" w:lineRule="auto"/>
    </w:pPr>
    <w:tblPr>
      <w:tblStyleRowBandSize w:val="1"/>
      <w:tblStyleColBandSize w:val="1"/>
    </w:tblPr>
    <w:tblStylePr w:type="firstRow">
      <w:rPr>
        <w:b/>
        <w:bCs/>
      </w:rPr>
      <w:tblPr/>
      <w:tcPr>
        <w:tcBorders>
          <w:bottom w:val="single" w:sz="4" w:space="0" w:color="A0C7C5" w:themeColor="accent6" w:themeTint="99"/>
        </w:tcBorders>
      </w:tcPr>
    </w:tblStylePr>
    <w:tblStylePr w:type="lastRow">
      <w:rPr>
        <w:b/>
        <w:bCs/>
      </w:rPr>
      <w:tblPr/>
      <w:tcPr>
        <w:tcBorders>
          <w:top w:val="single" w:sz="4" w:space="0" w:color="A0C7C5" w:themeColor="accent6" w:themeTint="99"/>
        </w:tcBorders>
      </w:tcPr>
    </w:tblStylePr>
    <w:tblStylePr w:type="firstCol">
      <w:rPr>
        <w:b/>
        <w:bCs/>
      </w:rPr>
    </w:tblStylePr>
    <w:tblStylePr w:type="lastCol">
      <w:rPr>
        <w:b/>
        <w:bCs/>
      </w:rPr>
    </w:tblStylePr>
    <w:tblStylePr w:type="band1Vert">
      <w:tblPr/>
      <w:tcPr>
        <w:shd w:val="clear" w:color="auto" w:fill="DFECEB" w:themeFill="accent6" w:themeFillTint="33"/>
      </w:tcPr>
    </w:tblStylePr>
    <w:tblStylePr w:type="band1Horz">
      <w:tblPr/>
      <w:tcPr>
        <w:shd w:val="clear" w:color="auto" w:fill="DFECEB" w:themeFill="accent6" w:themeFillTint="33"/>
      </w:tcPr>
    </w:tblStylePr>
  </w:style>
  <w:style w:type="paragraph" w:styleId="Kommentaremne">
    <w:name w:val="annotation subject"/>
    <w:basedOn w:val="Kommentartekst"/>
    <w:next w:val="Kommentartekst"/>
    <w:link w:val="KommentaremneTegn"/>
    <w:uiPriority w:val="99"/>
    <w:semiHidden/>
    <w:unhideWhenUsed/>
    <w:rsid w:val="003A5571"/>
    <w:rPr>
      <w:b/>
      <w:bCs/>
    </w:rPr>
  </w:style>
  <w:style w:type="character" w:customStyle="1" w:styleId="KommentaremneTegn">
    <w:name w:val="Kommentaremne Tegn"/>
    <w:basedOn w:val="KommentartekstTegn"/>
    <w:link w:val="Kommentaremne"/>
    <w:uiPriority w:val="99"/>
    <w:semiHidden/>
    <w:rsid w:val="003A5571"/>
    <w:rPr>
      <w:b/>
      <w:bCs/>
      <w:sz w:val="20"/>
      <w:szCs w:val="20"/>
    </w:rPr>
  </w:style>
  <w:style w:type="paragraph" w:styleId="Fodnotetekst">
    <w:name w:val="footnote text"/>
    <w:basedOn w:val="Normal"/>
    <w:link w:val="FodnotetekstTegn"/>
    <w:uiPriority w:val="99"/>
    <w:semiHidden/>
    <w:unhideWhenUsed/>
    <w:rsid w:val="001A1640"/>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1A1640"/>
    <w:rPr>
      <w:sz w:val="20"/>
      <w:szCs w:val="20"/>
    </w:rPr>
  </w:style>
  <w:style w:type="character" w:styleId="Fodnotehenvisning">
    <w:name w:val="footnote reference"/>
    <w:basedOn w:val="Standardskrifttypeiafsnit"/>
    <w:uiPriority w:val="99"/>
    <w:semiHidden/>
    <w:unhideWhenUsed/>
    <w:rsid w:val="001A1640"/>
    <w:rPr>
      <w:vertAlign w:val="superscript"/>
    </w:rPr>
  </w:style>
  <w:style w:type="table" w:styleId="Gittertabel2-farve5">
    <w:name w:val="Grid Table 2 Accent 5"/>
    <w:basedOn w:val="Tabel-Normal"/>
    <w:uiPriority w:val="47"/>
    <w:rsid w:val="00050991"/>
    <w:pPr>
      <w:spacing w:after="0" w:line="240" w:lineRule="auto"/>
    </w:pPr>
    <w:rPr>
      <w:rFonts w:eastAsiaTheme="minorEastAsia"/>
    </w:rPr>
    <w:tblPr>
      <w:tblStyleRowBandSize w:val="1"/>
      <w:tblStyleColBandSize w:val="1"/>
      <w:tblBorders>
        <w:top w:val="single" w:sz="2" w:space="0" w:color="7EC492" w:themeColor="accent5" w:themeTint="99"/>
        <w:bottom w:val="single" w:sz="2" w:space="0" w:color="7EC492" w:themeColor="accent5" w:themeTint="99"/>
        <w:insideH w:val="single" w:sz="2" w:space="0" w:color="7EC492" w:themeColor="accent5" w:themeTint="99"/>
        <w:insideV w:val="single" w:sz="2" w:space="0" w:color="7EC492" w:themeColor="accent5" w:themeTint="99"/>
      </w:tblBorders>
    </w:tblPr>
    <w:tblStylePr w:type="firstRow">
      <w:rPr>
        <w:b/>
        <w:bCs/>
      </w:rPr>
      <w:tblPr/>
      <w:tcPr>
        <w:tcBorders>
          <w:top w:val="nil"/>
          <w:bottom w:val="single" w:sz="12" w:space="0" w:color="7EC492" w:themeColor="accent5" w:themeTint="99"/>
          <w:insideH w:val="nil"/>
          <w:insideV w:val="nil"/>
        </w:tcBorders>
        <w:shd w:val="clear" w:color="auto" w:fill="FFFFFF" w:themeFill="background1"/>
      </w:tcPr>
    </w:tblStylePr>
    <w:tblStylePr w:type="lastRow">
      <w:rPr>
        <w:b/>
        <w:bCs/>
      </w:rPr>
      <w:tblPr/>
      <w:tcPr>
        <w:tcBorders>
          <w:top w:val="double" w:sz="2" w:space="0" w:color="7EC492"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3EBDA" w:themeFill="accent5" w:themeFillTint="33"/>
      </w:tcPr>
    </w:tblStylePr>
    <w:tblStylePr w:type="band1Horz">
      <w:tblPr/>
      <w:tcPr>
        <w:shd w:val="clear" w:color="auto" w:fill="D3EBDA"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591973">
      <w:bodyDiv w:val="1"/>
      <w:marLeft w:val="0"/>
      <w:marRight w:val="0"/>
      <w:marTop w:val="0"/>
      <w:marBottom w:val="0"/>
      <w:divBdr>
        <w:top w:val="none" w:sz="0" w:space="0" w:color="auto"/>
        <w:left w:val="none" w:sz="0" w:space="0" w:color="auto"/>
        <w:bottom w:val="none" w:sz="0" w:space="0" w:color="auto"/>
        <w:right w:val="none" w:sz="0" w:space="0" w:color="auto"/>
      </w:divBdr>
    </w:div>
    <w:div w:id="188492160">
      <w:bodyDiv w:val="1"/>
      <w:marLeft w:val="0"/>
      <w:marRight w:val="0"/>
      <w:marTop w:val="0"/>
      <w:marBottom w:val="0"/>
      <w:divBdr>
        <w:top w:val="none" w:sz="0" w:space="0" w:color="auto"/>
        <w:left w:val="none" w:sz="0" w:space="0" w:color="auto"/>
        <w:bottom w:val="none" w:sz="0" w:space="0" w:color="auto"/>
        <w:right w:val="none" w:sz="0" w:space="0" w:color="auto"/>
      </w:divBdr>
    </w:div>
    <w:div w:id="236324174">
      <w:bodyDiv w:val="1"/>
      <w:marLeft w:val="0"/>
      <w:marRight w:val="0"/>
      <w:marTop w:val="0"/>
      <w:marBottom w:val="0"/>
      <w:divBdr>
        <w:top w:val="none" w:sz="0" w:space="0" w:color="auto"/>
        <w:left w:val="none" w:sz="0" w:space="0" w:color="auto"/>
        <w:bottom w:val="none" w:sz="0" w:space="0" w:color="auto"/>
        <w:right w:val="none" w:sz="0" w:space="0" w:color="auto"/>
      </w:divBdr>
    </w:div>
    <w:div w:id="268972236">
      <w:bodyDiv w:val="1"/>
      <w:marLeft w:val="0"/>
      <w:marRight w:val="0"/>
      <w:marTop w:val="0"/>
      <w:marBottom w:val="0"/>
      <w:divBdr>
        <w:top w:val="none" w:sz="0" w:space="0" w:color="auto"/>
        <w:left w:val="none" w:sz="0" w:space="0" w:color="auto"/>
        <w:bottom w:val="none" w:sz="0" w:space="0" w:color="auto"/>
        <w:right w:val="none" w:sz="0" w:space="0" w:color="auto"/>
      </w:divBdr>
    </w:div>
    <w:div w:id="404185853">
      <w:bodyDiv w:val="1"/>
      <w:marLeft w:val="0"/>
      <w:marRight w:val="0"/>
      <w:marTop w:val="0"/>
      <w:marBottom w:val="0"/>
      <w:divBdr>
        <w:top w:val="none" w:sz="0" w:space="0" w:color="auto"/>
        <w:left w:val="none" w:sz="0" w:space="0" w:color="auto"/>
        <w:bottom w:val="none" w:sz="0" w:space="0" w:color="auto"/>
        <w:right w:val="none" w:sz="0" w:space="0" w:color="auto"/>
      </w:divBdr>
    </w:div>
    <w:div w:id="751510132">
      <w:bodyDiv w:val="1"/>
      <w:marLeft w:val="0"/>
      <w:marRight w:val="0"/>
      <w:marTop w:val="0"/>
      <w:marBottom w:val="0"/>
      <w:divBdr>
        <w:top w:val="none" w:sz="0" w:space="0" w:color="auto"/>
        <w:left w:val="none" w:sz="0" w:space="0" w:color="auto"/>
        <w:bottom w:val="none" w:sz="0" w:space="0" w:color="auto"/>
        <w:right w:val="none" w:sz="0" w:space="0" w:color="auto"/>
      </w:divBdr>
    </w:div>
    <w:div w:id="755832027">
      <w:bodyDiv w:val="1"/>
      <w:marLeft w:val="0"/>
      <w:marRight w:val="0"/>
      <w:marTop w:val="0"/>
      <w:marBottom w:val="0"/>
      <w:divBdr>
        <w:top w:val="none" w:sz="0" w:space="0" w:color="auto"/>
        <w:left w:val="none" w:sz="0" w:space="0" w:color="auto"/>
        <w:bottom w:val="none" w:sz="0" w:space="0" w:color="auto"/>
        <w:right w:val="none" w:sz="0" w:space="0" w:color="auto"/>
      </w:divBdr>
    </w:div>
    <w:div w:id="807746312">
      <w:bodyDiv w:val="1"/>
      <w:marLeft w:val="0"/>
      <w:marRight w:val="0"/>
      <w:marTop w:val="0"/>
      <w:marBottom w:val="0"/>
      <w:divBdr>
        <w:top w:val="none" w:sz="0" w:space="0" w:color="auto"/>
        <w:left w:val="none" w:sz="0" w:space="0" w:color="auto"/>
        <w:bottom w:val="none" w:sz="0" w:space="0" w:color="auto"/>
        <w:right w:val="none" w:sz="0" w:space="0" w:color="auto"/>
      </w:divBdr>
    </w:div>
    <w:div w:id="809370437">
      <w:bodyDiv w:val="1"/>
      <w:marLeft w:val="0"/>
      <w:marRight w:val="0"/>
      <w:marTop w:val="0"/>
      <w:marBottom w:val="0"/>
      <w:divBdr>
        <w:top w:val="none" w:sz="0" w:space="0" w:color="auto"/>
        <w:left w:val="none" w:sz="0" w:space="0" w:color="auto"/>
        <w:bottom w:val="none" w:sz="0" w:space="0" w:color="auto"/>
        <w:right w:val="none" w:sz="0" w:space="0" w:color="auto"/>
      </w:divBdr>
    </w:div>
    <w:div w:id="1223059582">
      <w:bodyDiv w:val="1"/>
      <w:marLeft w:val="0"/>
      <w:marRight w:val="0"/>
      <w:marTop w:val="0"/>
      <w:marBottom w:val="0"/>
      <w:divBdr>
        <w:top w:val="none" w:sz="0" w:space="0" w:color="auto"/>
        <w:left w:val="none" w:sz="0" w:space="0" w:color="auto"/>
        <w:bottom w:val="none" w:sz="0" w:space="0" w:color="auto"/>
        <w:right w:val="none" w:sz="0" w:space="0" w:color="auto"/>
      </w:divBdr>
    </w:div>
    <w:div w:id="1284535010">
      <w:bodyDiv w:val="1"/>
      <w:marLeft w:val="0"/>
      <w:marRight w:val="0"/>
      <w:marTop w:val="0"/>
      <w:marBottom w:val="0"/>
      <w:divBdr>
        <w:top w:val="none" w:sz="0" w:space="0" w:color="auto"/>
        <w:left w:val="none" w:sz="0" w:space="0" w:color="auto"/>
        <w:bottom w:val="none" w:sz="0" w:space="0" w:color="auto"/>
        <w:right w:val="none" w:sz="0" w:space="0" w:color="auto"/>
      </w:divBdr>
    </w:div>
    <w:div w:id="1622809908">
      <w:bodyDiv w:val="1"/>
      <w:marLeft w:val="0"/>
      <w:marRight w:val="0"/>
      <w:marTop w:val="0"/>
      <w:marBottom w:val="0"/>
      <w:divBdr>
        <w:top w:val="none" w:sz="0" w:space="0" w:color="auto"/>
        <w:left w:val="none" w:sz="0" w:space="0" w:color="auto"/>
        <w:bottom w:val="none" w:sz="0" w:space="0" w:color="auto"/>
        <w:right w:val="none" w:sz="0" w:space="0" w:color="auto"/>
      </w:divBdr>
    </w:div>
    <w:div w:id="1641377226">
      <w:bodyDiv w:val="1"/>
      <w:marLeft w:val="0"/>
      <w:marRight w:val="0"/>
      <w:marTop w:val="0"/>
      <w:marBottom w:val="0"/>
      <w:divBdr>
        <w:top w:val="none" w:sz="0" w:space="0" w:color="auto"/>
        <w:left w:val="none" w:sz="0" w:space="0" w:color="auto"/>
        <w:bottom w:val="none" w:sz="0" w:space="0" w:color="auto"/>
        <w:right w:val="none" w:sz="0" w:space="0" w:color="auto"/>
      </w:divBdr>
    </w:div>
    <w:div w:id="1647279712">
      <w:bodyDiv w:val="1"/>
      <w:marLeft w:val="0"/>
      <w:marRight w:val="0"/>
      <w:marTop w:val="0"/>
      <w:marBottom w:val="0"/>
      <w:divBdr>
        <w:top w:val="none" w:sz="0" w:space="0" w:color="auto"/>
        <w:left w:val="none" w:sz="0" w:space="0" w:color="auto"/>
        <w:bottom w:val="none" w:sz="0" w:space="0" w:color="auto"/>
        <w:right w:val="none" w:sz="0" w:space="0" w:color="auto"/>
      </w:divBdr>
    </w:div>
    <w:div w:id="1862477154">
      <w:bodyDiv w:val="1"/>
      <w:marLeft w:val="0"/>
      <w:marRight w:val="0"/>
      <w:marTop w:val="0"/>
      <w:marBottom w:val="0"/>
      <w:divBdr>
        <w:top w:val="none" w:sz="0" w:space="0" w:color="auto"/>
        <w:left w:val="none" w:sz="0" w:space="0" w:color="auto"/>
        <w:bottom w:val="none" w:sz="0" w:space="0" w:color="auto"/>
        <w:right w:val="none" w:sz="0" w:space="0" w:color="auto"/>
      </w:divBdr>
    </w:div>
    <w:div w:id="1909537875">
      <w:bodyDiv w:val="1"/>
      <w:marLeft w:val="0"/>
      <w:marRight w:val="0"/>
      <w:marTop w:val="0"/>
      <w:marBottom w:val="0"/>
      <w:divBdr>
        <w:top w:val="none" w:sz="0" w:space="0" w:color="auto"/>
        <w:left w:val="none" w:sz="0" w:space="0" w:color="auto"/>
        <w:bottom w:val="none" w:sz="0" w:space="0" w:color="auto"/>
        <w:right w:val="none" w:sz="0" w:space="0" w:color="auto"/>
      </w:divBdr>
    </w:div>
    <w:div w:id="1995210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dagsordener.hjoerring.dk/vis/pdf/dagsorden/4d3f647e-487b-432a-b64a-1115fcacaab4?redirectDirectlyToPdf=false"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tema">
  <a:themeElements>
    <a:clrScheme name="Blå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42FF5B4931D6541B0CF84D4B856ACF8" ma:contentTypeVersion="17" ma:contentTypeDescription="Opret et nyt dokument." ma:contentTypeScope="" ma:versionID="bb2ba2f95c13cd80ede9210d1fb2f7db">
  <xsd:schema xmlns:xsd="http://www.w3.org/2001/XMLSchema" xmlns:xs="http://www.w3.org/2001/XMLSchema" xmlns:p="http://schemas.microsoft.com/office/2006/metadata/properties" xmlns:ns2="f5dc4c3f-8a7d-40c6-88f9-45323f77d7cb" xmlns:ns3="bf981239-b3dd-463a-9d58-292dfabdd60e" targetNamespace="http://schemas.microsoft.com/office/2006/metadata/properties" ma:root="true" ma:fieldsID="445656f2dd9e0e089b715ff962603ec0" ns2:_="" ns3:_="">
    <xsd:import namespace="f5dc4c3f-8a7d-40c6-88f9-45323f77d7cb"/>
    <xsd:import namespace="bf981239-b3dd-463a-9d58-292dfabdd6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LengthInSeconds"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dc4c3f-8a7d-40c6-88f9-45323f77d7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Billedmærker" ma:readOnly="false" ma:fieldId="{5cf76f15-5ced-4ddc-b409-7134ff3c332f}" ma:taxonomyMulti="true" ma:sspId="fd8b7232-3447-4015-8c29-860061c6a39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f981239-b3dd-463a-9d58-292dfabdd60e" elementFormDefault="qualified">
    <xsd:import namespace="http://schemas.microsoft.com/office/2006/documentManagement/types"/>
    <xsd:import namespace="http://schemas.microsoft.com/office/infopath/2007/PartnerControls"/>
    <xsd:element name="SharedWithUsers" ma:index="1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lt med detaljer" ma:internalName="SharedWithDetails" ma:readOnly="true">
      <xsd:simpleType>
        <xsd:restriction base="dms:Note">
          <xsd:maxLength value="255"/>
        </xsd:restriction>
      </xsd:simpleType>
    </xsd:element>
    <xsd:element name="TaxCatchAll" ma:index="23" nillable="true" ma:displayName="Taxonomy Catch All Column" ma:hidden="true" ma:list="{79e70686-fa1b-4122-84a1-b0371b1803ed}" ma:internalName="TaxCatchAll" ma:showField="CatchAllData" ma:web="bf981239-b3dd-463a-9d58-292dfabdd60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bf981239-b3dd-463a-9d58-292dfabdd60e" xsi:nil="true"/>
    <lcf76f155ced4ddcb4097134ff3c332f xmlns="f5dc4c3f-8a7d-40c6-88f9-45323f77d7cb">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20E11F2-ED21-4515-B423-0FF382F9F2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dc4c3f-8a7d-40c6-88f9-45323f77d7cb"/>
    <ds:schemaRef ds:uri="bf981239-b3dd-463a-9d58-292dfabdd6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06226CE-0C89-4AD5-AAA0-C7AD829A8CB9}">
  <ds:schemaRefs>
    <ds:schemaRef ds:uri="http://schemas.microsoft.com/office/2006/metadata/properties"/>
    <ds:schemaRef ds:uri="http://schemas.microsoft.com/office/infopath/2007/PartnerControls"/>
    <ds:schemaRef ds:uri="bf981239-b3dd-463a-9d58-292dfabdd60e"/>
    <ds:schemaRef ds:uri="f5dc4c3f-8a7d-40c6-88f9-45323f77d7cb"/>
  </ds:schemaRefs>
</ds:datastoreItem>
</file>

<file path=customXml/itemProps3.xml><?xml version="1.0" encoding="utf-8"?>
<ds:datastoreItem xmlns:ds="http://schemas.openxmlformats.org/officeDocument/2006/customXml" ds:itemID="{B784549C-9D53-45A9-ACE3-57BF5A0C122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436</TotalTime>
  <Pages>4</Pages>
  <Words>1181</Words>
  <Characters>7206</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Maj-Britt Jensen - Teknisk</dc:creator>
  <cp:keywords/>
  <dc:description/>
  <cp:lastModifiedBy>Maj-Britt Jensen - Teknisk</cp:lastModifiedBy>
  <cp:revision>93</cp:revision>
  <dcterms:created xsi:type="dcterms:W3CDTF">2022-09-08T09:13:00Z</dcterms:created>
  <dcterms:modified xsi:type="dcterms:W3CDTF">2022-09-29T12:48:00Z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0x010100742FF5B4931D6541B0CF84D4B856ACF8</vt:lpwstr>
  </property>
  <property fmtid="{D5CDD505-2E9C-101B-9397-08002B2CF9AE}" pid="3" name="MediaServiceImageTags">
    <vt:lpwstr/>
  </property>
</Properties>
</file>