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tabel5-mrk-farve3"/>
        <w:tblW w:w="9536" w:type="dxa"/>
        <w:tblLook w:val="0420" w:firstRow="1" w:lastRow="0" w:firstColumn="0" w:lastColumn="0" w:noHBand="0" w:noVBand="1"/>
      </w:tblPr>
      <w:tblGrid>
        <w:gridCol w:w="1700"/>
        <w:gridCol w:w="7836"/>
      </w:tblGrid>
      <w:tr w:rsidR="001642AF" w:rsidRPr="008045B6" w14:paraId="5BE1B498" w14:textId="77777777" w:rsidTr="00C7373B">
        <w:trPr>
          <w:cnfStyle w:val="100000000000" w:firstRow="1" w:lastRow="0" w:firstColumn="0" w:lastColumn="0" w:oddVBand="0" w:evenVBand="0" w:oddHBand="0" w:evenHBand="0" w:firstRowFirstColumn="0" w:firstRowLastColumn="0" w:lastRowFirstColumn="0" w:lastRowLastColumn="0"/>
          <w:trHeight w:val="772"/>
        </w:trPr>
        <w:tc>
          <w:tcPr>
            <w:tcW w:w="1700" w:type="dxa"/>
            <w:hideMark/>
          </w:tcPr>
          <w:p w14:paraId="033D9248" w14:textId="77777777" w:rsidR="005547AB" w:rsidRPr="005547AB" w:rsidRDefault="005547AB" w:rsidP="005547AB">
            <w:pPr>
              <w:spacing w:after="160" w:line="259" w:lineRule="auto"/>
            </w:pPr>
            <w:r w:rsidRPr="005547AB">
              <w:t>Case</w:t>
            </w:r>
          </w:p>
        </w:tc>
        <w:tc>
          <w:tcPr>
            <w:tcW w:w="7836" w:type="dxa"/>
            <w:hideMark/>
          </w:tcPr>
          <w:p w14:paraId="603B7136" w14:textId="6006489A" w:rsidR="00BF397A" w:rsidRDefault="009D6D58" w:rsidP="005547AB">
            <w:pPr>
              <w:spacing w:after="160" w:line="259" w:lineRule="auto"/>
              <w:rPr>
                <w:b w:val="0"/>
                <w:bCs w:val="0"/>
                <w:lang w:val="en-GB"/>
              </w:rPr>
            </w:pPr>
            <w:bookmarkStart w:id="0" w:name="_Hlk88125221"/>
            <w:r>
              <w:rPr>
                <w:noProof/>
              </w:rPr>
              <w:drawing>
                <wp:anchor distT="0" distB="0" distL="114300" distR="114300" simplePos="0" relativeHeight="251659265" behindDoc="0" locked="0" layoutInCell="1" allowOverlap="1" wp14:anchorId="386E62A4" wp14:editId="3C0D537C">
                  <wp:simplePos x="0" y="0"/>
                  <wp:positionH relativeFrom="column">
                    <wp:posOffset>2301875</wp:posOffset>
                  </wp:positionH>
                  <wp:positionV relativeFrom="paragraph">
                    <wp:posOffset>100704</wp:posOffset>
                  </wp:positionV>
                  <wp:extent cx="2493750" cy="304116"/>
                  <wp:effectExtent l="0" t="0" r="1905" b="127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750" cy="304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97A" w:rsidRPr="00BF397A">
              <w:rPr>
                <w:lang w:val="en-GB"/>
              </w:rPr>
              <w:t>Green</w:t>
            </w:r>
            <w:r w:rsidR="00D3467C">
              <w:rPr>
                <w:lang w:val="en-GB"/>
              </w:rPr>
              <w:t>port North</w:t>
            </w:r>
            <w:r w:rsidR="00377369">
              <w:rPr>
                <w:lang w:val="en-GB"/>
              </w:rPr>
              <w:br/>
            </w:r>
            <w:r w:rsidR="00621C8E">
              <w:rPr>
                <w:lang w:val="en-GB"/>
              </w:rPr>
              <w:t xml:space="preserve">Marine </w:t>
            </w:r>
            <w:r w:rsidR="007F1915">
              <w:rPr>
                <w:lang w:val="en-GB"/>
              </w:rPr>
              <w:t>Renewable</w:t>
            </w:r>
            <w:r w:rsidR="00621C8E">
              <w:rPr>
                <w:lang w:val="en-GB"/>
              </w:rPr>
              <w:t xml:space="preserve"> </w:t>
            </w:r>
            <w:r w:rsidR="00BF397A" w:rsidRPr="00BF397A">
              <w:rPr>
                <w:lang w:val="en-GB"/>
              </w:rPr>
              <w:t>Hub</w:t>
            </w:r>
            <w:r w:rsidR="00147750">
              <w:rPr>
                <w:lang w:val="en-GB"/>
              </w:rPr>
              <w:t xml:space="preserve"> </w:t>
            </w:r>
            <w:r w:rsidR="00D3467C">
              <w:rPr>
                <w:lang w:val="en-GB"/>
              </w:rPr>
              <w:t>(</w:t>
            </w:r>
            <w:r w:rsidR="00147750">
              <w:rPr>
                <w:lang w:val="en-GB"/>
              </w:rPr>
              <w:t>Phase I</w:t>
            </w:r>
            <w:r w:rsidR="00D3467C">
              <w:rPr>
                <w:lang w:val="en-GB"/>
              </w:rPr>
              <w:t>)</w:t>
            </w:r>
            <w:bookmarkEnd w:id="0"/>
          </w:p>
          <w:p w14:paraId="6C217DBD" w14:textId="0280E99F" w:rsidR="00D3467C" w:rsidRPr="00BF397A" w:rsidRDefault="00D3467C" w:rsidP="005547AB">
            <w:pPr>
              <w:spacing w:after="160" w:line="259" w:lineRule="auto"/>
              <w:rPr>
                <w:lang w:val="en-GB"/>
              </w:rPr>
            </w:pPr>
          </w:p>
        </w:tc>
      </w:tr>
      <w:tr w:rsidR="001642AF" w:rsidRPr="005E2C29" w14:paraId="2AB9C25B" w14:textId="77777777" w:rsidTr="00C7373B">
        <w:trPr>
          <w:cnfStyle w:val="000000100000" w:firstRow="0" w:lastRow="0" w:firstColumn="0" w:lastColumn="0" w:oddVBand="0" w:evenVBand="0" w:oddHBand="1" w:evenHBand="0" w:firstRowFirstColumn="0" w:firstRowLastColumn="0" w:lastRowFirstColumn="0" w:lastRowLastColumn="0"/>
          <w:trHeight w:val="772"/>
        </w:trPr>
        <w:tc>
          <w:tcPr>
            <w:tcW w:w="1700" w:type="dxa"/>
          </w:tcPr>
          <w:p w14:paraId="01BF73D7" w14:textId="26C4EC57" w:rsidR="003C315E" w:rsidRPr="00AE2418" w:rsidRDefault="003C315E" w:rsidP="005547AB">
            <w:r w:rsidRPr="00AE2418">
              <w:t>Afsender</w:t>
            </w:r>
          </w:p>
        </w:tc>
        <w:tc>
          <w:tcPr>
            <w:tcW w:w="7836" w:type="dxa"/>
          </w:tcPr>
          <w:p w14:paraId="12C77A9D" w14:textId="2B8263FB" w:rsidR="00BF397A" w:rsidRPr="00713443" w:rsidRDefault="00BF397A" w:rsidP="005547AB">
            <w:r w:rsidRPr="00713443">
              <w:t>Greenport North</w:t>
            </w:r>
          </w:p>
          <w:p w14:paraId="71763C6E" w14:textId="4FDE3152" w:rsidR="00BF397A" w:rsidRDefault="00BF397A" w:rsidP="00BF397A">
            <w:r>
              <w:t>Nordsøen Forskerpark</w:t>
            </w:r>
            <w:r w:rsidR="002C071C">
              <w:tab/>
            </w:r>
            <w:r w:rsidR="002C071C">
              <w:tab/>
            </w:r>
          </w:p>
          <w:p w14:paraId="5FF934D5" w14:textId="72090B60" w:rsidR="00BF397A" w:rsidRPr="008045B6" w:rsidRDefault="00BF397A" w:rsidP="00BF397A">
            <w:r w:rsidRPr="008045B6">
              <w:t>Willemoesvej 2</w:t>
            </w:r>
          </w:p>
          <w:p w14:paraId="1AE109C6" w14:textId="41D0CCD1" w:rsidR="00BF397A" w:rsidRPr="00713443" w:rsidRDefault="00BF397A" w:rsidP="00BF397A">
            <w:pPr>
              <w:rPr>
                <w:lang w:val="en-GB"/>
              </w:rPr>
            </w:pPr>
            <w:r w:rsidRPr="00713443">
              <w:rPr>
                <w:lang w:val="en-GB"/>
              </w:rPr>
              <w:t xml:space="preserve">9850 </w:t>
            </w:r>
            <w:proofErr w:type="spellStart"/>
            <w:r w:rsidRPr="00713443">
              <w:rPr>
                <w:lang w:val="en-GB"/>
              </w:rPr>
              <w:t>Hirtshals</w:t>
            </w:r>
            <w:proofErr w:type="spellEnd"/>
            <w:r w:rsidR="009D6D58">
              <w:t xml:space="preserve"> </w:t>
            </w:r>
          </w:p>
          <w:p w14:paraId="04680A00" w14:textId="491BCF67" w:rsidR="00BF397A" w:rsidRPr="00713443" w:rsidRDefault="00BF397A" w:rsidP="00BF397A">
            <w:pPr>
              <w:rPr>
                <w:lang w:val="en-GB"/>
              </w:rPr>
            </w:pPr>
          </w:p>
          <w:p w14:paraId="0CB80815" w14:textId="77777777" w:rsidR="00BF397A" w:rsidRPr="00BF397A" w:rsidRDefault="00BF397A" w:rsidP="00BF397A">
            <w:pPr>
              <w:rPr>
                <w:lang w:val="en-GB"/>
              </w:rPr>
            </w:pPr>
            <w:r w:rsidRPr="00BF397A">
              <w:rPr>
                <w:lang w:val="en-GB"/>
              </w:rPr>
              <w:t>Steen Harding Hintze</w:t>
            </w:r>
          </w:p>
          <w:p w14:paraId="02005D8D" w14:textId="71813F07" w:rsidR="00BF397A" w:rsidRPr="00BF397A" w:rsidRDefault="00BF397A" w:rsidP="00BF397A">
            <w:pPr>
              <w:rPr>
                <w:lang w:val="en-GB"/>
              </w:rPr>
            </w:pPr>
            <w:r>
              <w:rPr>
                <w:lang w:val="en-GB"/>
              </w:rPr>
              <w:t xml:space="preserve">Tel: </w:t>
            </w:r>
            <w:r w:rsidRPr="00BF397A">
              <w:rPr>
                <w:lang w:val="en-GB"/>
              </w:rPr>
              <w:t>+45 40 20 74 76</w:t>
            </w:r>
          </w:p>
          <w:p w14:paraId="4AF088D8" w14:textId="365787EC" w:rsidR="00BF397A" w:rsidRPr="00BF397A" w:rsidRDefault="00BF397A" w:rsidP="00BF397A">
            <w:pPr>
              <w:rPr>
                <w:lang w:val="en-GB"/>
              </w:rPr>
            </w:pPr>
            <w:r>
              <w:rPr>
                <w:lang w:val="en-GB"/>
              </w:rPr>
              <w:t xml:space="preserve">Mail: </w:t>
            </w:r>
            <w:r w:rsidRPr="00BF397A">
              <w:rPr>
                <w:lang w:val="en-GB"/>
              </w:rPr>
              <w:t>shh@greenportnorth.dk</w:t>
            </w:r>
          </w:p>
          <w:p w14:paraId="28CBBA60" w14:textId="336C194D" w:rsidR="00BF397A" w:rsidRPr="00BF397A" w:rsidRDefault="00BF397A" w:rsidP="005547AB">
            <w:pPr>
              <w:rPr>
                <w:lang w:val="en-GB"/>
              </w:rPr>
            </w:pPr>
          </w:p>
        </w:tc>
      </w:tr>
      <w:tr w:rsidR="001642AF" w:rsidRPr="005547AB" w14:paraId="1C4E9193" w14:textId="77777777" w:rsidTr="00C7373B">
        <w:trPr>
          <w:trHeight w:val="782"/>
        </w:trPr>
        <w:tc>
          <w:tcPr>
            <w:tcW w:w="1700" w:type="dxa"/>
            <w:hideMark/>
          </w:tcPr>
          <w:p w14:paraId="7CDA2293" w14:textId="28F12B5B" w:rsidR="005547AB" w:rsidRPr="005547AB" w:rsidRDefault="005547AB" w:rsidP="005547AB">
            <w:pPr>
              <w:spacing w:after="160" w:line="259" w:lineRule="auto"/>
            </w:pPr>
            <w:r>
              <w:t>Introduktion</w:t>
            </w:r>
          </w:p>
        </w:tc>
        <w:tc>
          <w:tcPr>
            <w:tcW w:w="7836" w:type="dxa"/>
            <w:hideMark/>
          </w:tcPr>
          <w:p w14:paraId="31366E97" w14:textId="2BEC2580" w:rsidR="00082C8B" w:rsidRDefault="00082C8B" w:rsidP="005547AB">
            <w:pPr>
              <w:spacing w:after="160" w:line="259" w:lineRule="auto"/>
            </w:pPr>
            <w:r w:rsidRPr="00082C8B">
              <w:t xml:space="preserve">Grøn omstilling af skibstrafik er i sin indledende fase. </w:t>
            </w:r>
            <w:r>
              <w:t xml:space="preserve">Ved COP 26 </w:t>
            </w:r>
            <w:r w:rsidR="007F1915">
              <w:t xml:space="preserve">i Glasgow </w:t>
            </w:r>
            <w:r>
              <w:t xml:space="preserve">har en række lande, herunder Danmark, fremlagt målsætninger om </w:t>
            </w:r>
            <w:r w:rsidR="00411D96">
              <w:t>CO</w:t>
            </w:r>
            <w:r w:rsidR="00411D96" w:rsidRPr="00E748A1">
              <w:rPr>
                <w:vertAlign w:val="subscript"/>
              </w:rPr>
              <w:t>2</w:t>
            </w:r>
            <w:r w:rsidR="00411D96">
              <w:t xml:space="preserve">-neutral </w:t>
            </w:r>
            <w:r>
              <w:t>skibsfart i 2050.</w:t>
            </w:r>
          </w:p>
          <w:p w14:paraId="54E92B46" w14:textId="55176374" w:rsidR="00082C8B" w:rsidRDefault="00082C8B" w:rsidP="00082C8B">
            <w:r>
              <w:t>Med sin Energiplan 2.0 sætter Hjørring Kommune fokus på Hirtshals som knudepunkt for udvikl</w:t>
            </w:r>
            <w:r w:rsidR="007F1915">
              <w:t>i</w:t>
            </w:r>
            <w:r>
              <w:t>ng af vedvarende energi og et mere sammenhængende grønt fjernvarmesystem. Hirtshals Havn er fiskerihavn, godshavn og er udgangspunkt for færgeruter til Norge, Island, Færøerne og Rusland ved rederierne Color Line, Fjordline og Smyril line. Fjordline har allerede etableret en mindre LNG</w:t>
            </w:r>
            <w:r w:rsidR="005C2357">
              <w:t>-</w:t>
            </w:r>
            <w:r>
              <w:t xml:space="preserve">terminal på havneområdet. </w:t>
            </w:r>
            <w:r w:rsidR="007F1915">
              <w:t>Der ventes etableret en LBG (Liqu</w:t>
            </w:r>
            <w:r w:rsidR="005C2357">
              <w:t>i</w:t>
            </w:r>
            <w:r w:rsidR="007F1915">
              <w:t xml:space="preserve">fied BioGas) terminal </w:t>
            </w:r>
            <w:r w:rsidR="00305735" w:rsidRPr="00377369">
              <w:t>ved havnen til den tilknyttede landtransport.</w:t>
            </w:r>
            <w:r w:rsidR="007F1915">
              <w:t xml:space="preserve">  </w:t>
            </w:r>
          </w:p>
          <w:p w14:paraId="5F95CA47" w14:textId="2F95584E" w:rsidR="00082C8B" w:rsidRDefault="00082C8B" w:rsidP="00082C8B"/>
          <w:p w14:paraId="4DB765F4" w14:textId="1ECB9349" w:rsidR="00082C8B" w:rsidRDefault="00082C8B" w:rsidP="00082C8B">
            <w:r>
              <w:t xml:space="preserve">Gennem Nordisk Transportpolitisk Netværk og </w:t>
            </w:r>
            <w:r w:rsidRPr="00BD5F4C">
              <w:t>Trans-European Transport Network (TEN-T)</w:t>
            </w:r>
            <w:r>
              <w:t xml:space="preserve"> kan Hirtshals Havn blive det </w:t>
            </w:r>
            <w:r w:rsidR="00305735">
              <w:t xml:space="preserve">helt </w:t>
            </w:r>
            <w:r>
              <w:t xml:space="preserve">afgørende bindeled mellem Nordjyske producenter af PtX brændstoffer og de maritime forbrugere. En række </w:t>
            </w:r>
            <w:r w:rsidR="00E748A1">
              <w:t xml:space="preserve">indledende </w:t>
            </w:r>
            <w:r>
              <w:t xml:space="preserve">analyser </w:t>
            </w:r>
            <w:r w:rsidR="00E748A1">
              <w:t>peger på, at decentral kulstoffangst på biogasanlæg og forbrændingsanlæg i Nordjylland, i kombination med de gode VE ressourcer</w:t>
            </w:r>
            <w:r w:rsidR="00305735">
              <w:t xml:space="preserve"> </w:t>
            </w:r>
            <w:r w:rsidR="00E748A1">
              <w:t>og fremtidens havnefaciliteter</w:t>
            </w:r>
            <w:r w:rsidR="00305735">
              <w:t xml:space="preserve"> i Hirtshals</w:t>
            </w:r>
            <w:r w:rsidR="00E748A1">
              <w:t>, kan producere og levere konkurrencedygtige PtX brændstoffer til opfyldelse af målsætningen om CO</w:t>
            </w:r>
            <w:r w:rsidR="00E748A1" w:rsidRPr="00E748A1">
              <w:rPr>
                <w:vertAlign w:val="subscript"/>
              </w:rPr>
              <w:t>2</w:t>
            </w:r>
            <w:r w:rsidR="00411D96">
              <w:t>-</w:t>
            </w:r>
            <w:r w:rsidR="00E748A1">
              <w:t>neutral skibsfart.</w:t>
            </w:r>
            <w:r w:rsidR="00305735">
              <w:t xml:space="preserve"> Nordjyske teknologiske, samarbejdsmæssige og forskningsmæssige kompetencer er en afgørende brik i denne udvikling.</w:t>
            </w:r>
          </w:p>
          <w:p w14:paraId="63DBBBC7" w14:textId="66143C1B" w:rsidR="00432835" w:rsidRDefault="00432835" w:rsidP="00082C8B"/>
          <w:p w14:paraId="047B8484" w14:textId="6C2574E9" w:rsidR="00432835" w:rsidRDefault="00432835" w:rsidP="00305735">
            <w:pPr>
              <w:spacing w:after="160" w:line="259" w:lineRule="auto"/>
            </w:pPr>
            <w:r>
              <w:t>H</w:t>
            </w:r>
            <w:r w:rsidRPr="00380CC7">
              <w:t xml:space="preserve">irtshals </w:t>
            </w:r>
            <w:r>
              <w:t>H</w:t>
            </w:r>
            <w:r w:rsidRPr="00380CC7">
              <w:t xml:space="preserve">avn </w:t>
            </w:r>
            <w:r>
              <w:t>arbejder for at blive regionens centrum</w:t>
            </w:r>
            <w:r w:rsidRPr="00380CC7">
              <w:t xml:space="preserve"> for målet om </w:t>
            </w:r>
            <w:r>
              <w:t>CO</w:t>
            </w:r>
            <w:r w:rsidRPr="00380CC7">
              <w:rPr>
                <w:vertAlign w:val="subscript"/>
              </w:rPr>
              <w:t>2</w:t>
            </w:r>
            <w:r w:rsidRPr="00380CC7">
              <w:t>-neutral skibsfart i 2050</w:t>
            </w:r>
            <w:r>
              <w:t>.</w:t>
            </w:r>
            <w:r w:rsidR="00EA1AE3">
              <w:t xml:space="preserve"> </w:t>
            </w:r>
            <w:r>
              <w:t>I projektet arbejdes der med første fase mod etablering af produktionsanlæg til bunkring af 100% grønne brændstoffer fra havnen.</w:t>
            </w:r>
          </w:p>
          <w:p w14:paraId="24850C3C" w14:textId="6ADAA44D" w:rsidR="00E63345" w:rsidRDefault="00432835" w:rsidP="00E63345">
            <w:r>
              <w:t>Hirtshals Havn har i tråd med ovenstående oprettet et selvstændigt udviklingsselskab, - Green</w:t>
            </w:r>
            <w:r w:rsidR="005C2357">
              <w:t>p</w:t>
            </w:r>
            <w:r>
              <w:t xml:space="preserve">ort North, som har til formål at forestå udviklingen af de dele af havnen, der ikke knytter sig direkte til den almindelige havnedrift og som </w:t>
            </w:r>
            <w:r w:rsidR="00E748A1">
              <w:t xml:space="preserve">har fokus på </w:t>
            </w:r>
            <w:r>
              <w:t xml:space="preserve">at udvikle og </w:t>
            </w:r>
            <w:r w:rsidR="00E748A1">
              <w:t>optimere de grønne energiløsninger på havnen og den bagvedliggende infrastruk</w:t>
            </w:r>
            <w:r w:rsidR="00FA1A3B">
              <w:t>t</w:t>
            </w:r>
            <w:r w:rsidR="00E748A1">
              <w:t>ur</w:t>
            </w:r>
            <w:r>
              <w:t>.</w:t>
            </w:r>
            <w:r w:rsidR="00E63345">
              <w:t xml:space="preserve"> Havnen står over for en udvidelse og skal i fremtiden kunne servicere både rederier/RO/RO og Danmarks største pelagiske fiskerflåde med grøn</w:t>
            </w:r>
            <w:r w:rsidR="00804C90">
              <w:t>t</w:t>
            </w:r>
            <w:r w:rsidR="00E63345">
              <w:t xml:space="preserve"> brændstof.</w:t>
            </w:r>
          </w:p>
          <w:p w14:paraId="60DE20CC" w14:textId="77777777" w:rsidR="00630971" w:rsidRDefault="00630971" w:rsidP="00E63345"/>
          <w:p w14:paraId="1F331F1C" w14:textId="449D11A5" w:rsidR="00E63345" w:rsidRDefault="00E63345" w:rsidP="00E63345">
            <w:pPr>
              <w:spacing w:after="160" w:line="259" w:lineRule="auto"/>
            </w:pPr>
            <w:r>
              <w:t>Ud for Hirtshals sejler årligt 80.000 ski</w:t>
            </w:r>
            <w:r w:rsidR="00711B0B">
              <w:t>b</w:t>
            </w:r>
            <w:r>
              <w:t>e rundt om Vendsyssel og der kører årligt 144.000 trailere ud og ind af Nordjylland gennem Hirtshals</w:t>
            </w:r>
            <w:r w:rsidR="00881114">
              <w:t>.</w:t>
            </w:r>
          </w:p>
          <w:p w14:paraId="58BAB11F" w14:textId="77777777" w:rsidR="00630971" w:rsidRDefault="00630971" w:rsidP="00E63345">
            <w:pPr>
              <w:spacing w:after="160" w:line="259" w:lineRule="auto"/>
            </w:pPr>
          </w:p>
          <w:p w14:paraId="704CBB1D" w14:textId="4B294D5B" w:rsidR="0089145C" w:rsidRDefault="00630971" w:rsidP="0089145C">
            <w:r>
              <w:rPr>
                <w:noProof/>
              </w:rPr>
              <mc:AlternateContent>
                <mc:Choice Requires="wps">
                  <w:drawing>
                    <wp:inline distT="0" distB="0" distL="0" distR="0" wp14:anchorId="0A8978C0" wp14:editId="56EA0550">
                      <wp:extent cx="4648200" cy="8858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85825"/>
                              </a:xfrm>
                              <a:prstGeom prst="rect">
                                <a:avLst/>
                              </a:prstGeom>
                              <a:solidFill>
                                <a:schemeClr val="bg1">
                                  <a:lumMod val="75000"/>
                                </a:schemeClr>
                              </a:solidFill>
                              <a:ln w="9525">
                                <a:solidFill>
                                  <a:srgbClr val="000000"/>
                                </a:solidFill>
                                <a:miter lim="800000"/>
                                <a:headEnd/>
                                <a:tailEnd/>
                              </a:ln>
                            </wps:spPr>
                            <wps:txbx>
                              <w:txbxContent>
                                <w:p w14:paraId="230C0447" w14:textId="77777777" w:rsidR="00630971" w:rsidRPr="00CF608A" w:rsidRDefault="00630971" w:rsidP="00630971">
                                  <w:pPr>
                                    <w:rPr>
                                      <w:i/>
                                      <w:iCs/>
                                    </w:rPr>
                                  </w:pPr>
                                  <w:r w:rsidRPr="00CF608A">
                                    <w:rPr>
                                      <w:i/>
                                      <w:iCs/>
                                    </w:rPr>
                                    <w:t xml:space="preserve">Ovenstående udvikling og ambitioner </w:t>
                                  </w:r>
                                  <w:r>
                                    <w:rPr>
                                      <w:i/>
                                      <w:iCs/>
                                    </w:rPr>
                                    <w:t xml:space="preserve">på energisiden, </w:t>
                                  </w:r>
                                  <w:r w:rsidRPr="00CF608A">
                                    <w:rPr>
                                      <w:i/>
                                      <w:iCs/>
                                    </w:rPr>
                                    <w:t xml:space="preserve">bliver </w:t>
                                  </w:r>
                                  <w:r>
                                    <w:rPr>
                                      <w:i/>
                                      <w:iCs/>
                                    </w:rPr>
                                    <w:t xml:space="preserve">gennem Greenport North </w:t>
                                  </w:r>
                                  <w:r w:rsidRPr="00CF608A">
                                    <w:rPr>
                                      <w:i/>
                                      <w:iCs/>
                                    </w:rPr>
                                    <w:t>organiseret som en integreret del af den forestående havn</w:t>
                                  </w:r>
                                  <w:r>
                                    <w:rPr>
                                      <w:i/>
                                      <w:iCs/>
                                    </w:rPr>
                                    <w:t>e</w:t>
                                  </w:r>
                                  <w:r w:rsidRPr="00CF608A">
                                    <w:rPr>
                                      <w:i/>
                                      <w:iCs/>
                                    </w:rPr>
                                    <w:t xml:space="preserve">udvidelse, som forventes gennemført i løbet af de kommende fem år. </w:t>
                                  </w:r>
                                  <w:r>
                                    <w:rPr>
                                      <w:i/>
                                      <w:iCs/>
                                    </w:rPr>
                                    <w:t>Se bilagt baggrundsnotat om udvikling af Hirtshals Havn.</w:t>
                                  </w:r>
                                </w:p>
                                <w:p w14:paraId="1F0CDA8E" w14:textId="77777777" w:rsidR="00630971" w:rsidRPr="00CF608A" w:rsidRDefault="00630971" w:rsidP="00630971">
                                  <w:pPr>
                                    <w:rPr>
                                      <w:i/>
                                      <w:iCs/>
                                    </w:rPr>
                                  </w:pPr>
                                </w:p>
                              </w:txbxContent>
                            </wps:txbx>
                            <wps:bodyPr rot="0" vert="horz" wrap="square" lIns="91440" tIns="45720" rIns="91440" bIns="45720" anchor="t" anchorCtr="0">
                              <a:noAutofit/>
                            </wps:bodyPr>
                          </wps:wsp>
                        </a:graphicData>
                      </a:graphic>
                    </wp:inline>
                  </w:drawing>
                </mc:Choice>
                <mc:Fallback>
                  <w:pict>
                    <v:shapetype w14:anchorId="0A8978C0" id="_x0000_t202" coordsize="21600,21600" o:spt="202" path="m,l,21600r21600,l21600,xe">
                      <v:stroke joinstyle="miter"/>
                      <v:path gradientshapeok="t" o:connecttype="rect"/>
                    </v:shapetype>
                    <v:shape id="Text Box 2" o:spid="_x0000_s1026" type="#_x0000_t202" style="width:366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" fillcolor="#bfbfbf [2412]">
                      <v:textbox>
                        <w:txbxContent>
                          <w:p w14:paraId="230C0447" w14:textId="77777777" w:rsidR="00630971" w:rsidRPr="00CF608A" w:rsidRDefault="00630971" w:rsidP="00630971">
                            <w:pPr>
                              <w:rPr>
                                <w:i/>
                                <w:iCs/>
                              </w:rPr>
                            </w:pPr>
                            <w:r w:rsidRPr="00CF608A">
                              <w:rPr>
                                <w:i/>
                                <w:iCs/>
                              </w:rPr>
                              <w:t xml:space="preserve">Ovenstående udvikling og ambitioner </w:t>
                            </w:r>
                            <w:r>
                              <w:rPr>
                                <w:i/>
                                <w:iCs/>
                              </w:rPr>
                              <w:t xml:space="preserve">på energisiden, </w:t>
                            </w:r>
                            <w:r w:rsidRPr="00CF608A">
                              <w:rPr>
                                <w:i/>
                                <w:iCs/>
                              </w:rPr>
                              <w:t xml:space="preserve">bliver </w:t>
                            </w:r>
                            <w:r>
                              <w:rPr>
                                <w:i/>
                                <w:iCs/>
                              </w:rPr>
                              <w:t xml:space="preserve">gennem Greenport North </w:t>
                            </w:r>
                            <w:r w:rsidRPr="00CF608A">
                              <w:rPr>
                                <w:i/>
                                <w:iCs/>
                              </w:rPr>
                              <w:t>organiseret som en integreret del af den forestående havn</w:t>
                            </w:r>
                            <w:r>
                              <w:rPr>
                                <w:i/>
                                <w:iCs/>
                              </w:rPr>
                              <w:t>e</w:t>
                            </w:r>
                            <w:r w:rsidRPr="00CF608A">
                              <w:rPr>
                                <w:i/>
                                <w:iCs/>
                              </w:rPr>
                              <w:t xml:space="preserve">udvidelse, som forventes gennemført i løbet af de kommende fem år. </w:t>
                            </w:r>
                            <w:r>
                              <w:rPr>
                                <w:i/>
                                <w:iCs/>
                              </w:rPr>
                              <w:t>Se bilagt baggrundsnotat om udvikling af Hirtshals Havn.</w:t>
                            </w:r>
                          </w:p>
                          <w:p w14:paraId="1F0CDA8E" w14:textId="77777777" w:rsidR="00630971" w:rsidRPr="00CF608A" w:rsidRDefault="00630971" w:rsidP="00630971">
                            <w:pPr>
                              <w:rPr>
                                <w:i/>
                                <w:iCs/>
                              </w:rPr>
                            </w:pPr>
                          </w:p>
                        </w:txbxContent>
                      </v:textbox>
                      <w10:anchorlock/>
                    </v:shape>
                  </w:pict>
                </mc:Fallback>
              </mc:AlternateContent>
            </w:r>
            <w:r w:rsidR="005F155F">
              <w:t>I Hirtshals planlægges etablering af en LBG storskala produktion fra 2027 samt etablering af en fyldestation for LBG fra 2023 til blandt andet Fjordline og til de mange lastbiler som kører ind og ud af Hirtshals.</w:t>
            </w:r>
            <w:r w:rsidR="00E20368">
              <w:t xml:space="preserve"> </w:t>
            </w:r>
            <w:r w:rsidR="005F155F">
              <w:t xml:space="preserve">Det søgte anlæg forventes opskaleret på havnen i Hirtshals fra dette tidspunkt </w:t>
            </w:r>
            <w:r w:rsidR="00472902">
              <w:t>og</w:t>
            </w:r>
            <w:r w:rsidR="005F155F">
              <w:t xml:space="preserve"> skal således vært en pilot for opsamling og nyttiggørelse af ca. 5</w:t>
            </w:r>
            <w:r w:rsidR="00557804">
              <w:t>.</w:t>
            </w:r>
            <w:r w:rsidR="005F155F">
              <w:t>000 tons CO</w:t>
            </w:r>
            <w:r w:rsidR="005F155F" w:rsidRPr="00557804">
              <w:rPr>
                <w:vertAlign w:val="subscript"/>
              </w:rPr>
              <w:t>2</w:t>
            </w:r>
            <w:r w:rsidR="005F155F">
              <w:t xml:space="preserve"> allerede fra 2023</w:t>
            </w:r>
            <w:r w:rsidR="00557804">
              <w:t>.</w:t>
            </w:r>
          </w:p>
          <w:p w14:paraId="5B46EA3C" w14:textId="77777777" w:rsidR="0089145C" w:rsidRDefault="0089145C" w:rsidP="0089145C"/>
          <w:p w14:paraId="0F539EB0" w14:textId="4AB34ABC" w:rsidR="0091161C" w:rsidRDefault="00432835" w:rsidP="0089145C">
            <w:r>
              <w:t xml:space="preserve">I tråd med udmeldinger fra </w:t>
            </w:r>
            <w:r w:rsidR="00977E4D">
              <w:t xml:space="preserve">bl.a. Mærsk </w:t>
            </w:r>
            <w:r>
              <w:t xml:space="preserve">og Danske Rederier, forventes </w:t>
            </w:r>
            <w:r w:rsidR="00977E4D">
              <w:t xml:space="preserve">skibsfartens efterspørgsel efter </w:t>
            </w:r>
            <w:r>
              <w:t xml:space="preserve">metanol </w:t>
            </w:r>
            <w:r w:rsidR="00D83077">
              <w:t xml:space="preserve">baseret </w:t>
            </w:r>
            <w:r w:rsidR="00977E4D">
              <w:t>på</w:t>
            </w:r>
            <w:r w:rsidR="00D83077">
              <w:t xml:space="preserve"> grøn</w:t>
            </w:r>
            <w:r w:rsidR="00977E4D">
              <w:t xml:space="preserve"> brint og </w:t>
            </w:r>
            <w:r w:rsidR="00D83077">
              <w:t>biogent</w:t>
            </w:r>
            <w:r w:rsidR="00977E4D">
              <w:t xml:space="preserve"> CO</w:t>
            </w:r>
            <w:r w:rsidR="00977E4D" w:rsidRPr="00CF608A">
              <w:rPr>
                <w:vertAlign w:val="subscript"/>
              </w:rPr>
              <w:t>2</w:t>
            </w:r>
            <w:r w:rsidR="00977E4D">
              <w:t xml:space="preserve"> at vokse markant frem mod 2025 og 2030.  I Nordjylland vil grøn brint blive produceret på både vind og sol</w:t>
            </w:r>
            <w:r w:rsidR="00351FEF">
              <w:t>.</w:t>
            </w:r>
            <w:r w:rsidR="00977E4D">
              <w:t xml:space="preserve"> </w:t>
            </w:r>
            <w:r w:rsidR="00351FEF">
              <w:t>K</w:t>
            </w:r>
            <w:r w:rsidR="00977E4D">
              <w:t>ulstoffet indfanges fra biogasanlæg</w:t>
            </w:r>
            <w:r w:rsidR="00351FEF">
              <w:t xml:space="preserve">, fra affaldsforbrænding og </w:t>
            </w:r>
            <w:r w:rsidR="00977E4D">
              <w:t>fra anlæg der brænder bæredygtig biomasse</w:t>
            </w:r>
            <w:r w:rsidR="00351FEF">
              <w:t>.</w:t>
            </w:r>
          </w:p>
          <w:p w14:paraId="0DB96CED" w14:textId="181B4D1C" w:rsidR="00330560" w:rsidRDefault="00351FEF" w:rsidP="00AB52D9">
            <w:pPr>
              <w:spacing w:after="160" w:line="259" w:lineRule="auto"/>
            </w:pPr>
            <w:r>
              <w:t>Fase 1 (denne ansøgning) løber fra november 2021 til 30.</w:t>
            </w:r>
            <w:r w:rsidR="005D14AA">
              <w:t xml:space="preserve"> juni </w:t>
            </w:r>
            <w:r>
              <w:t>2023</w:t>
            </w:r>
            <w:r w:rsidR="00330560">
              <w:t xml:space="preserve"> og indeholder</w:t>
            </w:r>
            <w:r w:rsidR="000F437D">
              <w:t xml:space="preserve"> n</w:t>
            </w:r>
            <w:r w:rsidR="00735EDB">
              <w:t>e</w:t>
            </w:r>
            <w:r w:rsidR="000F437D">
              <w:t xml:space="preserve">denstående </w:t>
            </w:r>
            <w:r w:rsidR="00CF608A">
              <w:t>s</w:t>
            </w:r>
            <w:r w:rsidR="00D83077">
              <w:t>eks</w:t>
            </w:r>
            <w:r w:rsidR="00CF608A">
              <w:t xml:space="preserve"> </w:t>
            </w:r>
            <w:r w:rsidR="000F437D">
              <w:t>delprojekter</w:t>
            </w:r>
            <w:r w:rsidR="00330560">
              <w:t>:</w:t>
            </w:r>
          </w:p>
          <w:p w14:paraId="24F3C488" w14:textId="689BCDD8" w:rsidR="00761B3D" w:rsidRDefault="00330560" w:rsidP="00790EA5">
            <w:pPr>
              <w:pStyle w:val="Listeafsnit"/>
              <w:numPr>
                <w:ilvl w:val="0"/>
                <w:numId w:val="9"/>
              </w:numPr>
            </w:pPr>
            <w:r>
              <w:t xml:space="preserve">Investering i anlæg til </w:t>
            </w:r>
            <w:r w:rsidR="00E648CE">
              <w:t>CO</w:t>
            </w:r>
            <w:r w:rsidR="00E648CE" w:rsidRPr="0038718E">
              <w:rPr>
                <w:vertAlign w:val="subscript"/>
              </w:rPr>
              <w:t>2</w:t>
            </w:r>
            <w:r w:rsidR="006E5098">
              <w:t>-</w:t>
            </w:r>
            <w:r w:rsidR="00E648CE">
              <w:t xml:space="preserve">fangst </w:t>
            </w:r>
            <w:r w:rsidR="0093659B">
              <w:t>og CO</w:t>
            </w:r>
            <w:r w:rsidR="0093659B" w:rsidRPr="0038718E">
              <w:rPr>
                <w:vertAlign w:val="subscript"/>
              </w:rPr>
              <w:t>2</w:t>
            </w:r>
            <w:r w:rsidR="0093659B">
              <w:t xml:space="preserve"> og LBG </w:t>
            </w:r>
            <w:r>
              <w:t xml:space="preserve">liquefaction ved GrønGas </w:t>
            </w:r>
            <w:r w:rsidR="00A5667B">
              <w:t xml:space="preserve">Hjørring, Gårestrupvej </w:t>
            </w:r>
            <w:r w:rsidR="00E34716">
              <w:t>179</w:t>
            </w:r>
          </w:p>
          <w:p w14:paraId="06DA49DD" w14:textId="2CA8928A" w:rsidR="007D0D04" w:rsidRDefault="00A5667B" w:rsidP="00931DB9">
            <w:pPr>
              <w:pStyle w:val="Listeafsnit"/>
              <w:numPr>
                <w:ilvl w:val="0"/>
                <w:numId w:val="9"/>
              </w:numPr>
            </w:pPr>
            <w:r>
              <w:t>Forprojekt for etablering af CO</w:t>
            </w:r>
            <w:r w:rsidRPr="00790EA5">
              <w:rPr>
                <w:vertAlign w:val="subscript"/>
              </w:rPr>
              <w:t>2</w:t>
            </w:r>
            <w:r w:rsidR="006E5098">
              <w:t>-</w:t>
            </w:r>
            <w:r>
              <w:t>fangst på A</w:t>
            </w:r>
            <w:r w:rsidR="004F04B4">
              <w:t xml:space="preserve">ffaldsselskabet </w:t>
            </w:r>
            <w:r>
              <w:t>V</w:t>
            </w:r>
            <w:r w:rsidR="004F04B4">
              <w:t>endsyssel Vest (AVV)</w:t>
            </w:r>
            <w:r>
              <w:t xml:space="preserve"> affaldsenergianlæg </w:t>
            </w:r>
            <w:r w:rsidR="00956CDB">
              <w:t xml:space="preserve">på </w:t>
            </w:r>
            <w:r>
              <w:t>Miljøvej 8 i Hjørring</w:t>
            </w:r>
          </w:p>
          <w:p w14:paraId="03D5192E" w14:textId="7D0A68AC" w:rsidR="00840245" w:rsidRDefault="00840245" w:rsidP="00790EA5">
            <w:pPr>
              <w:pStyle w:val="Listeafsnit"/>
              <w:numPr>
                <w:ilvl w:val="0"/>
                <w:numId w:val="9"/>
              </w:numPr>
            </w:pPr>
            <w:r>
              <w:t>B</w:t>
            </w:r>
            <w:r w:rsidR="003A1428">
              <w:t xml:space="preserve">eslutningsgrundlag </w:t>
            </w:r>
            <w:r>
              <w:t xml:space="preserve">for etablering af 30 </w:t>
            </w:r>
            <w:r w:rsidR="003A67DE">
              <w:t xml:space="preserve">– 70 </w:t>
            </w:r>
            <w:r>
              <w:t xml:space="preserve">MW metanolanlæg på Hirtshals Havn </w:t>
            </w:r>
            <w:r w:rsidR="003A1428">
              <w:t>til beslutning i efteråret 2023. Ress</w:t>
            </w:r>
            <w:r w:rsidR="00D92AFA">
              <w:t>o</w:t>
            </w:r>
            <w:r w:rsidR="003A1428">
              <w:t>urcer, infrastruktur, lagring, afsætning</w:t>
            </w:r>
          </w:p>
          <w:p w14:paraId="65732EE1" w14:textId="53215495" w:rsidR="00840245" w:rsidRDefault="00840245" w:rsidP="00790EA5">
            <w:pPr>
              <w:pStyle w:val="Listeafsnit"/>
              <w:numPr>
                <w:ilvl w:val="0"/>
                <w:numId w:val="9"/>
              </w:numPr>
            </w:pPr>
            <w:r>
              <w:t>Eksperimentel analyse og optimering af CO</w:t>
            </w:r>
            <w:r w:rsidRPr="003A1428">
              <w:rPr>
                <w:vertAlign w:val="subscript"/>
              </w:rPr>
              <w:t>2</w:t>
            </w:r>
            <w:r w:rsidR="006E5098">
              <w:t>-</w:t>
            </w:r>
            <w:r>
              <w:t>fangst</w:t>
            </w:r>
            <w:r w:rsidR="003A1428">
              <w:t>- og optimal CO</w:t>
            </w:r>
            <w:r w:rsidR="003A1428" w:rsidRPr="006E5098">
              <w:rPr>
                <w:vertAlign w:val="subscript"/>
              </w:rPr>
              <w:t>2</w:t>
            </w:r>
            <w:r w:rsidR="006E5098">
              <w:t>-</w:t>
            </w:r>
            <w:r w:rsidR="003A1428">
              <w:t>transport</w:t>
            </w:r>
            <w:r>
              <w:t xml:space="preserve"> </w:t>
            </w:r>
            <w:r w:rsidR="003A1428">
              <w:t>til Hirtshals havn</w:t>
            </w:r>
          </w:p>
          <w:p w14:paraId="5B794812" w14:textId="1E876DAE" w:rsidR="00A5667B" w:rsidRDefault="00490B2F" w:rsidP="00790EA5">
            <w:pPr>
              <w:pStyle w:val="Listeafsnit"/>
              <w:numPr>
                <w:ilvl w:val="0"/>
                <w:numId w:val="9"/>
              </w:numPr>
            </w:pPr>
            <w:r>
              <w:t xml:space="preserve">Udvikling af </w:t>
            </w:r>
            <w:r w:rsidR="00AC723B" w:rsidRPr="00AC723B">
              <w:t>innovationsplatform for grøn havneomstilling med fokus på grønt brændstof til skibsfart i Skandinavien</w:t>
            </w:r>
          </w:p>
          <w:p w14:paraId="6278C979" w14:textId="04BCD94F" w:rsidR="00840245" w:rsidRDefault="00AD7C6B" w:rsidP="00790EA5">
            <w:pPr>
              <w:pStyle w:val="Listeafsnit"/>
              <w:numPr>
                <w:ilvl w:val="0"/>
                <w:numId w:val="9"/>
              </w:numPr>
            </w:pPr>
            <w:r w:rsidRPr="00AD7C6B">
              <w:t>Udarbejde samlet roadmap for 100% VE brændstof i Hirtshals Havn med fokus på at sikre Scan-MED korridoren grønt brændstof og eet knudepunkt for produktion og distribution</w:t>
            </w:r>
            <w:r w:rsidR="00490B2F">
              <w:t>.</w:t>
            </w:r>
          </w:p>
          <w:p w14:paraId="08E69E27" w14:textId="77777777" w:rsidR="003A1428" w:rsidRDefault="003A1428" w:rsidP="005547AB">
            <w:pPr>
              <w:spacing w:after="160" w:line="259" w:lineRule="auto"/>
            </w:pPr>
          </w:p>
          <w:p w14:paraId="03AA24F1" w14:textId="41377F26" w:rsidR="00B920FB" w:rsidRDefault="000F437D" w:rsidP="005547AB">
            <w:pPr>
              <w:spacing w:after="160" w:line="259" w:lineRule="auto"/>
            </w:pPr>
            <w:r>
              <w:t xml:space="preserve">De enkelte </w:t>
            </w:r>
            <w:r w:rsidR="00790EA5">
              <w:t>del</w:t>
            </w:r>
            <w:r>
              <w:t>projekter</w:t>
            </w:r>
            <w:r w:rsidR="00AC09E8">
              <w:t xml:space="preserve"> og </w:t>
            </w:r>
            <w:r w:rsidR="00790EA5">
              <w:t xml:space="preserve">partnere </w:t>
            </w:r>
            <w:r>
              <w:t>gennemgås nedenstående</w:t>
            </w:r>
            <w:r w:rsidR="00790EA5">
              <w:t>:</w:t>
            </w:r>
          </w:p>
          <w:p w14:paraId="15DCF97E" w14:textId="636495B2" w:rsidR="00B920FB" w:rsidRDefault="00B920FB" w:rsidP="005547AB">
            <w:pPr>
              <w:spacing w:after="160" w:line="259" w:lineRule="auto"/>
              <w:rPr>
                <w:b/>
                <w:bCs/>
              </w:rPr>
            </w:pPr>
            <w:r>
              <w:rPr>
                <w:b/>
                <w:bCs/>
              </w:rPr>
              <w:t>I</w:t>
            </w:r>
            <w:r w:rsidR="00DE4614">
              <w:rPr>
                <w:b/>
                <w:bCs/>
              </w:rPr>
              <w:t>.</w:t>
            </w:r>
            <w:r>
              <w:rPr>
                <w:b/>
                <w:bCs/>
              </w:rPr>
              <w:t xml:space="preserve"> </w:t>
            </w:r>
            <w:r w:rsidRPr="00B920FB">
              <w:rPr>
                <w:b/>
                <w:bCs/>
              </w:rPr>
              <w:t>Eksperimentel udviklingsprojekt LBG og CO</w:t>
            </w:r>
            <w:r w:rsidRPr="00B920FB">
              <w:rPr>
                <w:b/>
                <w:bCs/>
                <w:vertAlign w:val="subscript"/>
              </w:rPr>
              <w:t>2</w:t>
            </w:r>
            <w:r w:rsidR="00A009BD">
              <w:rPr>
                <w:b/>
                <w:bCs/>
              </w:rPr>
              <w:t>-</w:t>
            </w:r>
            <w:r w:rsidRPr="00B920FB">
              <w:rPr>
                <w:b/>
                <w:bCs/>
              </w:rPr>
              <w:t>fangst</w:t>
            </w:r>
          </w:p>
          <w:p w14:paraId="66E02AE6" w14:textId="4688B8AD" w:rsidR="00B920FB" w:rsidRDefault="00B920FB" w:rsidP="005547AB">
            <w:pPr>
              <w:spacing w:after="160" w:line="259" w:lineRule="auto"/>
            </w:pPr>
            <w:r>
              <w:t>Nordjylland har betydelige ress</w:t>
            </w:r>
            <w:r w:rsidR="002F5E3F">
              <w:t>o</w:t>
            </w:r>
            <w:r>
              <w:t xml:space="preserve">urcer for biogasproduktion, og der findes allerede i dag </w:t>
            </w:r>
            <w:r w:rsidR="00D83077">
              <w:t xml:space="preserve">et betydeligt antal </w:t>
            </w:r>
            <w:r>
              <w:t xml:space="preserve">biogasanlæg i drift i regionen. Biogassen anvendes dels til produktion af el- og varme og dels </w:t>
            </w:r>
            <w:r w:rsidR="00C437AC">
              <w:t xml:space="preserve">til </w:t>
            </w:r>
            <w:r>
              <w:t>opgrader</w:t>
            </w:r>
            <w:r w:rsidR="00C437AC">
              <w:t xml:space="preserve">ing </w:t>
            </w:r>
            <w:r>
              <w:t>og indfød</w:t>
            </w:r>
            <w:r w:rsidR="00C437AC">
              <w:t xml:space="preserve">ning </w:t>
            </w:r>
            <w:r>
              <w:t>i naturgasnettet. I forbindelse med den grønne omstilling er der skabt øget interesse for flydende gas (LNG og LBG) til brug for både skibsfart og landtransport.</w:t>
            </w:r>
            <w:r w:rsidR="00FB638A">
              <w:t xml:space="preserve"> </w:t>
            </w:r>
          </w:p>
          <w:p w14:paraId="69C9CCC1" w14:textId="5681CD50" w:rsidR="001642AF" w:rsidRDefault="00907002" w:rsidP="001642AF">
            <w:pPr>
              <w:spacing w:after="160" w:line="259" w:lineRule="auto"/>
            </w:pPr>
            <w:r>
              <w:t>Biogas indeholder typisk 35-45% CO</w:t>
            </w:r>
            <w:r w:rsidRPr="00FB638A">
              <w:rPr>
                <w:vertAlign w:val="subscript"/>
              </w:rPr>
              <w:t>2</w:t>
            </w:r>
            <w:r>
              <w:t xml:space="preserve"> som skal udskilles for at producere LBG. </w:t>
            </w:r>
            <w:r w:rsidR="00FB638A">
              <w:t>Der er forskellige processer til produktion af LBG</w:t>
            </w:r>
            <w:r>
              <w:t>.</w:t>
            </w:r>
            <w:r w:rsidR="00704D42">
              <w:t xml:space="preserve"> </w:t>
            </w:r>
            <w:r>
              <w:t>I</w:t>
            </w:r>
            <w:r w:rsidR="00704D42">
              <w:t xml:space="preserve"> dette tilfælde </w:t>
            </w:r>
            <w:r>
              <w:t>fjernes først CO</w:t>
            </w:r>
            <w:r w:rsidRPr="00983C2C">
              <w:rPr>
                <w:vertAlign w:val="subscript"/>
              </w:rPr>
              <w:t>2</w:t>
            </w:r>
            <w:r>
              <w:t xml:space="preserve">, hvorefter der vælges en </w:t>
            </w:r>
            <w:r w:rsidR="00704D42">
              <w:t>”Mixed Refrigerant” proces</w:t>
            </w:r>
            <w:r>
              <w:t xml:space="preserve"> til nedkøling. G</w:t>
            </w:r>
            <w:r w:rsidR="00704D42">
              <w:t xml:space="preserve">assen gøres </w:t>
            </w:r>
            <w:r w:rsidR="00704D42">
              <w:lastRenderedPageBreak/>
              <w:t>flydende ved ca</w:t>
            </w:r>
            <w:r w:rsidR="00983C2C">
              <w:t>.</w:t>
            </w:r>
            <w:r w:rsidR="00704D42">
              <w:t xml:space="preserve"> - 160</w:t>
            </w:r>
            <w:r w:rsidR="00704D42" w:rsidRPr="00704D42">
              <w:rPr>
                <w:vertAlign w:val="superscript"/>
              </w:rPr>
              <w:t>o</w:t>
            </w:r>
            <w:r w:rsidR="00704D42">
              <w:t>C</w:t>
            </w:r>
            <w:r w:rsidR="00FB638A">
              <w:t xml:space="preserve"> </w:t>
            </w:r>
            <w:r w:rsidR="00704D42">
              <w:t xml:space="preserve">ved et elforbrug </w:t>
            </w:r>
            <w:r>
              <w:t xml:space="preserve">svarende til </w:t>
            </w:r>
            <w:r w:rsidR="00704D42">
              <w:t>5</w:t>
            </w:r>
            <w:r>
              <w:t>-7%</w:t>
            </w:r>
            <w:r w:rsidR="00704D42">
              <w:t xml:space="preserve"> af gassens energiindhold.</w:t>
            </w:r>
            <w:r>
              <w:t xml:space="preserve"> </w:t>
            </w:r>
            <w:r w:rsidR="001D6218">
              <w:t xml:space="preserve"> </w:t>
            </w:r>
            <w:r>
              <w:t>Også den udskilte CO</w:t>
            </w:r>
            <w:r w:rsidRPr="00907002">
              <w:rPr>
                <w:vertAlign w:val="subscript"/>
              </w:rPr>
              <w:t>2</w:t>
            </w:r>
            <w:r>
              <w:t xml:space="preserve"> opsamles og gøres flydende for at lette efterfølgende transport og eventuel videre rensning for sporstoffer ved brug til produktion af metanol</w:t>
            </w:r>
            <w:r w:rsidR="001642AF">
              <w:t>.</w:t>
            </w:r>
          </w:p>
          <w:p w14:paraId="71911B49" w14:textId="3AB1CBD9" w:rsidR="001642AF" w:rsidRDefault="001642AF" w:rsidP="001642AF">
            <w:pPr>
              <w:spacing w:after="160" w:line="259" w:lineRule="auto"/>
            </w:pPr>
            <w:r>
              <w:rPr>
                <w:noProof/>
              </w:rPr>
              <w:drawing>
                <wp:inline distT="0" distB="0" distL="0" distR="0" wp14:anchorId="51E619C6" wp14:editId="6E6DE387">
                  <wp:extent cx="4831609" cy="445262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581" cy="4459045"/>
                          </a:xfrm>
                          <a:prstGeom prst="rect">
                            <a:avLst/>
                          </a:prstGeom>
                        </pic:spPr>
                      </pic:pic>
                    </a:graphicData>
                  </a:graphic>
                </wp:inline>
              </w:drawing>
            </w:r>
          </w:p>
          <w:p w14:paraId="5AE2BA2D" w14:textId="6FFED97F" w:rsidR="0019090E" w:rsidRPr="0019090E" w:rsidRDefault="0019090E" w:rsidP="00191500">
            <w:pPr>
              <w:rPr>
                <w:i/>
                <w:iCs/>
                <w:sz w:val="20"/>
                <w:szCs w:val="20"/>
              </w:rPr>
            </w:pPr>
            <w:r>
              <w:rPr>
                <w:i/>
                <w:iCs/>
                <w:sz w:val="20"/>
                <w:szCs w:val="20"/>
              </w:rPr>
              <w:t xml:space="preserve">Illustration af </w:t>
            </w:r>
            <w:r w:rsidR="005A2BF4">
              <w:rPr>
                <w:i/>
                <w:iCs/>
                <w:sz w:val="20"/>
                <w:szCs w:val="20"/>
              </w:rPr>
              <w:t>placeringen af GrønGas Hjørring i forhold til Hjørring og Hirtshals. Der er ca. 1</w:t>
            </w:r>
            <w:r w:rsidR="00AD0624">
              <w:rPr>
                <w:i/>
                <w:iCs/>
                <w:sz w:val="20"/>
                <w:szCs w:val="20"/>
              </w:rPr>
              <w:t>2</w:t>
            </w:r>
            <w:r w:rsidR="005A2BF4">
              <w:rPr>
                <w:i/>
                <w:iCs/>
                <w:sz w:val="20"/>
                <w:szCs w:val="20"/>
              </w:rPr>
              <w:t xml:space="preserve"> km </w:t>
            </w:r>
            <w:r w:rsidR="00AD0624">
              <w:rPr>
                <w:i/>
                <w:iCs/>
                <w:sz w:val="20"/>
                <w:szCs w:val="20"/>
              </w:rPr>
              <w:t xml:space="preserve">i lige linje </w:t>
            </w:r>
            <w:r w:rsidR="005A2BF4">
              <w:rPr>
                <w:i/>
                <w:iCs/>
                <w:sz w:val="20"/>
                <w:szCs w:val="20"/>
              </w:rPr>
              <w:t>fra</w:t>
            </w:r>
            <w:r w:rsidR="00AD0624">
              <w:rPr>
                <w:i/>
                <w:iCs/>
                <w:sz w:val="20"/>
                <w:szCs w:val="20"/>
              </w:rPr>
              <w:t xml:space="preserve"> GrønGas Hjørring til Hirtshals</w:t>
            </w:r>
            <w:r w:rsidR="005A2BF4">
              <w:rPr>
                <w:i/>
                <w:iCs/>
                <w:sz w:val="20"/>
                <w:szCs w:val="20"/>
              </w:rPr>
              <w:t xml:space="preserve"> </w:t>
            </w:r>
            <w:r w:rsidR="00AD0624">
              <w:rPr>
                <w:i/>
                <w:iCs/>
                <w:sz w:val="20"/>
                <w:szCs w:val="20"/>
              </w:rPr>
              <w:t xml:space="preserve">Havn. Kortet er fra DGC's studie af muligheder </w:t>
            </w:r>
            <w:r w:rsidR="00D009DE">
              <w:rPr>
                <w:i/>
                <w:iCs/>
                <w:sz w:val="20"/>
                <w:szCs w:val="20"/>
              </w:rPr>
              <w:t xml:space="preserve">for at etablere et netværk af rørledninger til </w:t>
            </w:r>
            <w:r w:rsidR="00FC1145">
              <w:rPr>
                <w:i/>
                <w:iCs/>
                <w:sz w:val="20"/>
                <w:szCs w:val="20"/>
              </w:rPr>
              <w:t>transport af CO</w:t>
            </w:r>
            <w:r w:rsidR="00FC1145" w:rsidRPr="00C95180">
              <w:rPr>
                <w:i/>
                <w:sz w:val="20"/>
                <w:szCs w:val="20"/>
                <w:vertAlign w:val="subscript"/>
              </w:rPr>
              <w:t>2</w:t>
            </w:r>
            <w:r w:rsidR="00486D8C">
              <w:rPr>
                <w:i/>
                <w:iCs/>
                <w:sz w:val="20"/>
                <w:szCs w:val="20"/>
              </w:rPr>
              <w:t xml:space="preserve"> </w:t>
            </w:r>
            <w:r w:rsidR="003151D6">
              <w:rPr>
                <w:i/>
                <w:iCs/>
                <w:sz w:val="20"/>
                <w:szCs w:val="20"/>
              </w:rPr>
              <w:t xml:space="preserve">(se DGC's </w:t>
            </w:r>
            <w:r w:rsidR="00486D8C">
              <w:rPr>
                <w:i/>
                <w:iCs/>
                <w:sz w:val="20"/>
                <w:szCs w:val="20"/>
              </w:rPr>
              <w:t xml:space="preserve">rapport i </w:t>
            </w:r>
            <w:r w:rsidR="003151D6">
              <w:rPr>
                <w:i/>
                <w:iCs/>
                <w:sz w:val="20"/>
                <w:szCs w:val="20"/>
              </w:rPr>
              <w:t>bilag</w:t>
            </w:r>
            <w:r w:rsidR="00486D8C">
              <w:rPr>
                <w:i/>
                <w:iCs/>
                <w:sz w:val="20"/>
                <w:szCs w:val="20"/>
              </w:rPr>
              <w:t>).</w:t>
            </w:r>
            <w:r w:rsidR="001C3B53">
              <w:rPr>
                <w:i/>
                <w:iCs/>
                <w:sz w:val="20"/>
                <w:szCs w:val="20"/>
              </w:rPr>
              <w:t xml:space="preserve"> </w:t>
            </w:r>
            <w:r w:rsidR="00F93E10" w:rsidRPr="00F93E10">
              <w:rPr>
                <w:i/>
                <w:iCs/>
                <w:sz w:val="20"/>
                <w:szCs w:val="20"/>
              </w:rPr>
              <w:t>Der vil kunne trækkes CO</w:t>
            </w:r>
            <w:r w:rsidR="00F93E10" w:rsidRPr="003151D6">
              <w:rPr>
                <w:i/>
                <w:iCs/>
                <w:sz w:val="20"/>
                <w:szCs w:val="20"/>
                <w:vertAlign w:val="subscript"/>
              </w:rPr>
              <w:t>2</w:t>
            </w:r>
            <w:r w:rsidR="00F93E10" w:rsidRPr="00F93E10">
              <w:rPr>
                <w:i/>
                <w:iCs/>
                <w:sz w:val="20"/>
                <w:szCs w:val="20"/>
              </w:rPr>
              <w:t xml:space="preserve"> fra såvel biogas fra </w:t>
            </w:r>
            <w:r w:rsidR="003151D6">
              <w:rPr>
                <w:i/>
                <w:iCs/>
                <w:sz w:val="20"/>
                <w:szCs w:val="20"/>
              </w:rPr>
              <w:t>b</w:t>
            </w:r>
            <w:r w:rsidR="00F93E10" w:rsidRPr="00F93E10">
              <w:rPr>
                <w:i/>
                <w:iCs/>
                <w:sz w:val="20"/>
                <w:szCs w:val="20"/>
              </w:rPr>
              <w:t>iogasanlæg som fra AVV Hjørring.</w:t>
            </w:r>
          </w:p>
          <w:p w14:paraId="75DCB3F8" w14:textId="77777777" w:rsidR="00191500" w:rsidRPr="0019090E" w:rsidRDefault="00191500" w:rsidP="00191500">
            <w:pPr>
              <w:rPr>
                <w:i/>
                <w:iCs/>
                <w:sz w:val="20"/>
                <w:szCs w:val="20"/>
              </w:rPr>
            </w:pPr>
          </w:p>
          <w:p w14:paraId="6D007E0F" w14:textId="7AD45E0A" w:rsidR="001D6218" w:rsidRDefault="001642AF" w:rsidP="001D6218">
            <w:pPr>
              <w:spacing w:after="160" w:line="259" w:lineRule="auto"/>
            </w:pPr>
            <w:r>
              <w:t xml:space="preserve">Anlægget dimensioneres til en årlig produktion af </w:t>
            </w:r>
            <w:r w:rsidR="005823C8">
              <w:t>c</w:t>
            </w:r>
            <w:r>
              <w:t xml:space="preserve">a. </w:t>
            </w:r>
            <w:r w:rsidR="005823C8">
              <w:t xml:space="preserve">5.500 tons LBG og ca. </w:t>
            </w:r>
            <w:r w:rsidR="00D67831">
              <w:t>6</w:t>
            </w:r>
            <w:r w:rsidR="00486D8C">
              <w:t>.</w:t>
            </w:r>
            <w:r w:rsidR="00D67831">
              <w:t>000 tons</w:t>
            </w:r>
            <w:r w:rsidR="00FA6FE1">
              <w:t xml:space="preserve"> biogent</w:t>
            </w:r>
            <w:r w:rsidR="00D67831">
              <w:t xml:space="preserve"> CO</w:t>
            </w:r>
            <w:r w:rsidR="00D67831" w:rsidRPr="00D67831">
              <w:rPr>
                <w:vertAlign w:val="subscript"/>
              </w:rPr>
              <w:t>2</w:t>
            </w:r>
            <w:r w:rsidR="00D67831">
              <w:t>.</w:t>
            </w:r>
            <w:r w:rsidR="001D6218">
              <w:t xml:space="preserve"> Ved projektet sikres det, at elforbruget er baseret på VE, samt at overskudsvarme i videst muligt omfang nyttiggøres i den eksisterende fjernvarmeinstallation. </w:t>
            </w:r>
          </w:p>
          <w:p w14:paraId="16F35653" w14:textId="31183643" w:rsidR="0035159B" w:rsidRDefault="00D67831" w:rsidP="00D67831">
            <w:pPr>
              <w:spacing w:after="160" w:line="259" w:lineRule="auto"/>
            </w:pPr>
            <w:r>
              <w:t>I forbindelse med etablering og de første års drift, vil Green</w:t>
            </w:r>
            <w:r w:rsidR="005C2357">
              <w:t>p</w:t>
            </w:r>
            <w:r>
              <w:t xml:space="preserve">ort North, AAU og Evida blive inddraget for at sikre etablering af et </w:t>
            </w:r>
            <w:r w:rsidR="00486D8C">
              <w:t>f</w:t>
            </w:r>
            <w:r>
              <w:t xml:space="preserve">agligt </w:t>
            </w:r>
            <w:r w:rsidR="00486D8C">
              <w:t>f</w:t>
            </w:r>
            <w:r>
              <w:t xml:space="preserve">ølgeprogram til brug for erfaringsudveksling og input til </w:t>
            </w:r>
            <w:r w:rsidR="00617051">
              <w:t>innovations</w:t>
            </w:r>
            <w:r>
              <w:t xml:space="preserve">platform, </w:t>
            </w:r>
            <w:r w:rsidR="005C2357">
              <w:t>r</w:t>
            </w:r>
            <w:r>
              <w:t>oadmap, og de videre investeringsbeslutninger omkring Hirtshals Havn.</w:t>
            </w:r>
          </w:p>
          <w:p w14:paraId="08E66ACE" w14:textId="0BF9C522" w:rsidR="00F9686D" w:rsidRDefault="00F9686D" w:rsidP="00D67831">
            <w:pPr>
              <w:spacing w:after="160" w:line="259" w:lineRule="auto"/>
            </w:pPr>
          </w:p>
          <w:p w14:paraId="080C55DD" w14:textId="77777777" w:rsidR="00630971" w:rsidRDefault="00630971" w:rsidP="00D67831">
            <w:pPr>
              <w:spacing w:after="160" w:line="259" w:lineRule="auto"/>
            </w:pPr>
          </w:p>
          <w:p w14:paraId="430BDA06" w14:textId="73C5A33A" w:rsidR="001C3B53" w:rsidRDefault="00911941" w:rsidP="001C3B53">
            <w:pPr>
              <w:spacing w:after="160" w:line="259" w:lineRule="auto"/>
              <w:rPr>
                <w:b/>
                <w:bCs/>
              </w:rPr>
            </w:pPr>
            <w:r>
              <w:rPr>
                <w:b/>
                <w:bCs/>
              </w:rPr>
              <w:lastRenderedPageBreak/>
              <w:t>II</w:t>
            </w:r>
            <w:r w:rsidR="00DE4614">
              <w:rPr>
                <w:b/>
                <w:bCs/>
              </w:rPr>
              <w:t>.</w:t>
            </w:r>
            <w:r>
              <w:rPr>
                <w:b/>
                <w:bCs/>
              </w:rPr>
              <w:t xml:space="preserve"> </w:t>
            </w:r>
            <w:r w:rsidR="0035159B" w:rsidRPr="0035159B">
              <w:rPr>
                <w:b/>
                <w:bCs/>
              </w:rPr>
              <w:t>Forprojekt til etablering af CO</w:t>
            </w:r>
            <w:r w:rsidR="0035159B" w:rsidRPr="00393D35">
              <w:rPr>
                <w:b/>
                <w:bCs/>
                <w:vertAlign w:val="subscript"/>
              </w:rPr>
              <w:t>2</w:t>
            </w:r>
            <w:r w:rsidR="00393D35">
              <w:rPr>
                <w:b/>
                <w:bCs/>
              </w:rPr>
              <w:t>-</w:t>
            </w:r>
            <w:r w:rsidR="0035159B" w:rsidRPr="0035159B">
              <w:rPr>
                <w:b/>
                <w:bCs/>
              </w:rPr>
              <w:t>fangst på AVV</w:t>
            </w:r>
          </w:p>
          <w:p w14:paraId="6EF286D4" w14:textId="34964E85" w:rsidR="001C3B53" w:rsidRDefault="001C3B53" w:rsidP="001C3B53">
            <w:r>
              <w:t xml:space="preserve">På ARC i København og </w:t>
            </w:r>
            <w:r w:rsidR="009B64ED">
              <w:t xml:space="preserve">affaldsforbrændingsanlægget </w:t>
            </w:r>
            <w:r>
              <w:t>i Thisted (</w:t>
            </w:r>
            <w:r w:rsidR="00AD3885">
              <w:t xml:space="preserve">i </w:t>
            </w:r>
            <w:r>
              <w:t xml:space="preserve">helt lille skala) er der udført test med </w:t>
            </w:r>
            <w:r w:rsidR="001D6218">
              <w:t xml:space="preserve">kulstoffangst </w:t>
            </w:r>
            <w:r>
              <w:t xml:space="preserve">ved </w:t>
            </w:r>
            <w:r w:rsidR="009B64ED">
              <w:t>a</w:t>
            </w:r>
            <w:r>
              <w:t>minteknologien. ARC har konkrete planer om at et</w:t>
            </w:r>
            <w:r w:rsidR="001D6218">
              <w:t>a</w:t>
            </w:r>
            <w:r>
              <w:t>blere et demonstrationsanlæg (500 kg CO</w:t>
            </w:r>
            <w:r w:rsidRPr="00352EB9">
              <w:rPr>
                <w:vertAlign w:val="subscript"/>
              </w:rPr>
              <w:t>2</w:t>
            </w:r>
            <w:r>
              <w:t xml:space="preserve"> i timen) til drift fra 2023.</w:t>
            </w:r>
          </w:p>
          <w:p w14:paraId="692B746A" w14:textId="77777777" w:rsidR="001C3B53" w:rsidRDefault="001C3B53" w:rsidP="001C3B53"/>
          <w:p w14:paraId="36EAB866" w14:textId="6E06CF39" w:rsidR="001C3B53" w:rsidRDefault="001C3B53" w:rsidP="00E63F01">
            <w:r>
              <w:t>AVV</w:t>
            </w:r>
            <w:r w:rsidR="004F04B4">
              <w:t>, der fra 2022 er fusioneret med RenoNord i Aalborg,</w:t>
            </w:r>
            <w:r>
              <w:t xml:space="preserve"> har ved Rambøll fået gennemført et forstudie om etablering af CO</w:t>
            </w:r>
            <w:r w:rsidRPr="00352EB9">
              <w:rPr>
                <w:vertAlign w:val="subscript"/>
              </w:rPr>
              <w:t>2</w:t>
            </w:r>
            <w:r w:rsidR="00352EB9">
              <w:t>-</w:t>
            </w:r>
            <w:r>
              <w:t>fangst. Forstudiet viser et investeringsbehov på 200-300 mio</w:t>
            </w:r>
            <w:r w:rsidR="00352EB9">
              <w:t>.</w:t>
            </w:r>
            <w:r>
              <w:t xml:space="preserve"> kr.</w:t>
            </w:r>
            <w:r w:rsidR="001D6218">
              <w:t xml:space="preserve"> </w:t>
            </w:r>
            <w:r>
              <w:t>Forstudiet indikerer en samlet CO</w:t>
            </w:r>
            <w:r w:rsidRPr="00352EB9">
              <w:rPr>
                <w:vertAlign w:val="subscript"/>
              </w:rPr>
              <w:t>2</w:t>
            </w:r>
            <w:r w:rsidR="00352EB9">
              <w:t>-</w:t>
            </w:r>
            <w:r>
              <w:t>omkostning på 350 kr</w:t>
            </w:r>
            <w:r w:rsidR="00352EB9">
              <w:t>.</w:t>
            </w:r>
            <w:r>
              <w:t xml:space="preserve">/ton (fangst og liquefaction) </w:t>
            </w:r>
            <w:r w:rsidR="00F704A6">
              <w:t>samt</w:t>
            </w:r>
            <w:r>
              <w:t xml:space="preserve"> 100 kr</w:t>
            </w:r>
            <w:r w:rsidR="00352EB9">
              <w:t>.</w:t>
            </w:r>
            <w:r>
              <w:t xml:space="preserve">/ton </w:t>
            </w:r>
            <w:r w:rsidR="00F704A6">
              <w:t xml:space="preserve">til </w:t>
            </w:r>
            <w:r>
              <w:t>rørtransport fra Hjørring til Hirtshals</w:t>
            </w:r>
            <w:r w:rsidR="00F704A6">
              <w:t xml:space="preserve">, altså </w:t>
            </w:r>
            <w:r>
              <w:t>i alt 450 kr</w:t>
            </w:r>
            <w:r w:rsidR="00F704A6">
              <w:t>.</w:t>
            </w:r>
            <w:r>
              <w:t>/ton.</w:t>
            </w:r>
            <w:r w:rsidR="001D6218">
              <w:t xml:space="preserve">  </w:t>
            </w:r>
            <w:r>
              <w:t>AVV’s forprojekt viser</w:t>
            </w:r>
            <w:r w:rsidR="00E63F01">
              <w:t xml:space="preserve"> hermed</w:t>
            </w:r>
            <w:r>
              <w:t>, at CO</w:t>
            </w:r>
            <w:r w:rsidRPr="00F704A6">
              <w:rPr>
                <w:vertAlign w:val="subscript"/>
              </w:rPr>
              <w:t>2</w:t>
            </w:r>
            <w:r w:rsidR="00F704A6">
              <w:t>-</w:t>
            </w:r>
            <w:r>
              <w:t>fangst på AVV er i samme prisleje som forventede omkostninger til CO</w:t>
            </w:r>
            <w:r w:rsidRPr="00F704A6">
              <w:rPr>
                <w:vertAlign w:val="subscript"/>
              </w:rPr>
              <w:t>2</w:t>
            </w:r>
            <w:r w:rsidR="00F704A6">
              <w:t>-</w:t>
            </w:r>
            <w:r>
              <w:t xml:space="preserve">fangst </w:t>
            </w:r>
            <w:r w:rsidR="00E63F01">
              <w:t>på store centrale anlæg i landets største byer</w:t>
            </w:r>
            <w:r>
              <w:t>.</w:t>
            </w:r>
            <w:r w:rsidR="00E63F01">
              <w:t xml:space="preserve"> </w:t>
            </w:r>
            <w:r>
              <w:t xml:space="preserve">Der er behov for at </w:t>
            </w:r>
            <w:r w:rsidR="00E63F01">
              <w:t xml:space="preserve">bekræfte og demonstrere, </w:t>
            </w:r>
            <w:r>
              <w:t xml:space="preserve">at </w:t>
            </w:r>
            <w:r w:rsidR="00E63F01">
              <w:t>de d</w:t>
            </w:r>
            <w:r w:rsidR="00FA6FE1">
              <w:t>e</w:t>
            </w:r>
            <w:r>
              <w:t xml:space="preserve">centrale </w:t>
            </w:r>
            <w:r w:rsidR="00E63F01">
              <w:t xml:space="preserve">løsninger er </w:t>
            </w:r>
            <w:r>
              <w:t xml:space="preserve">konkurrencedygtige med centrale </w:t>
            </w:r>
            <w:r w:rsidR="00E63F01">
              <w:t>løsninger.</w:t>
            </w:r>
          </w:p>
          <w:p w14:paraId="061383CA" w14:textId="35B38F69" w:rsidR="00E63F01" w:rsidRDefault="00E63F01" w:rsidP="00E63F01"/>
          <w:p w14:paraId="44917D5F" w14:textId="6E3D658D" w:rsidR="00E63F01" w:rsidRDefault="00E63F01" w:rsidP="00E63F01">
            <w:r>
              <w:t xml:space="preserve">I dette </w:t>
            </w:r>
            <w:r w:rsidR="001E18E1">
              <w:t>for</w:t>
            </w:r>
            <w:r>
              <w:t>projekt analyseres detaljeret mulighederne for etablering af kulstoffangst på anlægget i Hjørring, herunder:</w:t>
            </w:r>
          </w:p>
          <w:p w14:paraId="52CC529C" w14:textId="771D7BE1" w:rsidR="00E63F01" w:rsidRDefault="00E63F01" w:rsidP="00E63F01">
            <w:pPr>
              <w:pStyle w:val="Listeafsnit"/>
              <w:numPr>
                <w:ilvl w:val="0"/>
                <w:numId w:val="10"/>
              </w:numPr>
            </w:pPr>
            <w:r>
              <w:t>Om der er fordele ved fx kryogen kulstoffangst sammenlignet med aminbaseret kulstoffangst</w:t>
            </w:r>
          </w:p>
          <w:p w14:paraId="41265901" w14:textId="6EF04522" w:rsidR="00E63F01" w:rsidRDefault="00BE0F0B" w:rsidP="00E63F01">
            <w:pPr>
              <w:pStyle w:val="Listeafsnit"/>
              <w:numPr>
                <w:ilvl w:val="0"/>
                <w:numId w:val="10"/>
              </w:numPr>
            </w:pPr>
            <w:r>
              <w:t>Hvilken pris CO</w:t>
            </w:r>
            <w:r w:rsidRPr="00BE0F0B">
              <w:rPr>
                <w:vertAlign w:val="subscript"/>
              </w:rPr>
              <w:t>2</w:t>
            </w:r>
            <w:r>
              <w:t xml:space="preserve"> kan leveres til ved Hirtshals havn til brug for PtX produktion</w:t>
            </w:r>
          </w:p>
          <w:p w14:paraId="12990CC9" w14:textId="1DAEEE1D" w:rsidR="00BE0F0B" w:rsidRDefault="00BE0F0B" w:rsidP="00E63F01">
            <w:pPr>
              <w:pStyle w:val="Listeafsnit"/>
              <w:numPr>
                <w:ilvl w:val="0"/>
                <w:numId w:val="10"/>
              </w:numPr>
            </w:pPr>
            <w:r>
              <w:t>Transport-synergier med CO</w:t>
            </w:r>
            <w:r w:rsidRPr="00837AEE">
              <w:rPr>
                <w:vertAlign w:val="subscript"/>
              </w:rPr>
              <w:t>2</w:t>
            </w:r>
            <w:r w:rsidR="00837AEE">
              <w:t>-</w:t>
            </w:r>
            <w:r>
              <w:t>fangst fra andre kilder i regionen</w:t>
            </w:r>
          </w:p>
          <w:p w14:paraId="24BB80F0" w14:textId="3093CA21" w:rsidR="00BE0F0B" w:rsidRDefault="00BE0F0B" w:rsidP="00E63F01">
            <w:pPr>
              <w:pStyle w:val="Listeafsnit"/>
              <w:numPr>
                <w:ilvl w:val="0"/>
                <w:numId w:val="10"/>
              </w:numPr>
            </w:pPr>
            <w:r>
              <w:t>Hvordan</w:t>
            </w:r>
            <w:r w:rsidR="003A67DE">
              <w:t xml:space="preserve"> det bedst håndteres fremadrettet, at ca. 30% af den udledte CO</w:t>
            </w:r>
            <w:r w:rsidR="003A67DE" w:rsidRPr="003A67DE">
              <w:rPr>
                <w:vertAlign w:val="subscript"/>
              </w:rPr>
              <w:t>2</w:t>
            </w:r>
            <w:r w:rsidR="003A67DE">
              <w:t xml:space="preserve"> (med nuværende affaldssammensætning) er fossilt baseret</w:t>
            </w:r>
          </w:p>
          <w:p w14:paraId="5D75A003" w14:textId="2BE2113F" w:rsidR="00BE0F0B" w:rsidRDefault="00BE0F0B" w:rsidP="00E63F01">
            <w:pPr>
              <w:pStyle w:val="Listeafsnit"/>
              <w:numPr>
                <w:ilvl w:val="0"/>
                <w:numId w:val="10"/>
              </w:numPr>
            </w:pPr>
            <w:r>
              <w:t>Forudsætninger for en egentlig investeringsbeslutning i et fuldskala fangst- og transportsystem inden 2025. Forstudiet indikerer et investeringsbehov på 200-300 mio</w:t>
            </w:r>
            <w:r w:rsidR="00022DFB">
              <w:t>.</w:t>
            </w:r>
            <w:r>
              <w:t xml:space="preserve"> kr.</w:t>
            </w:r>
          </w:p>
          <w:p w14:paraId="65B0E636" w14:textId="77777777" w:rsidR="001C3B53" w:rsidRDefault="001C3B53" w:rsidP="001C3B53"/>
          <w:p w14:paraId="0B66CA63" w14:textId="2FB66162" w:rsidR="003A67DE" w:rsidRDefault="00AD3885" w:rsidP="001C3B53">
            <w:proofErr w:type="spellStart"/>
            <w:r>
              <w:t>F</w:t>
            </w:r>
            <w:r w:rsidR="003A67DE">
              <w:t>orprojekt</w:t>
            </w:r>
            <w:proofErr w:type="spellEnd"/>
            <w:r w:rsidR="003A67DE">
              <w:t xml:space="preserve"> </w:t>
            </w:r>
            <w:r>
              <w:t xml:space="preserve">udarbejdes i tæt samarbejde med Aalborg Universitet, og </w:t>
            </w:r>
            <w:r w:rsidR="003A67DE">
              <w:t>inddrage</w:t>
            </w:r>
            <w:r w:rsidR="0028523A">
              <w:t xml:space="preserve">r desuden </w:t>
            </w:r>
            <w:r w:rsidR="003A67DE">
              <w:t>Green</w:t>
            </w:r>
            <w:r w:rsidR="005C2357">
              <w:t>p</w:t>
            </w:r>
            <w:r w:rsidR="003A67DE">
              <w:t>ort North</w:t>
            </w:r>
            <w:r w:rsidR="0028523A">
              <w:t xml:space="preserve"> og </w:t>
            </w:r>
            <w:proofErr w:type="spellStart"/>
            <w:r w:rsidR="003A67DE">
              <w:t>Evida</w:t>
            </w:r>
            <w:proofErr w:type="spellEnd"/>
            <w:r w:rsidR="003A67DE">
              <w:t xml:space="preserve"> for at sikre den nødvendige koordinering til etablering af et 30-70 MW PtX</w:t>
            </w:r>
            <w:r w:rsidR="001E18E1">
              <w:t>-</w:t>
            </w:r>
            <w:r w:rsidR="003A67DE">
              <w:t>anlæg ved Hirtshals Havn.</w:t>
            </w:r>
          </w:p>
          <w:p w14:paraId="00D4C246" w14:textId="3F014581" w:rsidR="000A258D" w:rsidRDefault="000A258D" w:rsidP="005547AB">
            <w:pPr>
              <w:spacing w:after="160" w:line="259" w:lineRule="auto"/>
            </w:pPr>
          </w:p>
          <w:p w14:paraId="2ED43EA8" w14:textId="6E93F7C8" w:rsidR="003A67DE" w:rsidRDefault="003A67DE" w:rsidP="005547AB">
            <w:pPr>
              <w:spacing w:after="160" w:line="259" w:lineRule="auto"/>
              <w:rPr>
                <w:b/>
                <w:bCs/>
              </w:rPr>
            </w:pPr>
            <w:r w:rsidRPr="00911941">
              <w:rPr>
                <w:b/>
                <w:bCs/>
              </w:rPr>
              <w:t>III</w:t>
            </w:r>
            <w:r w:rsidR="00DE4614">
              <w:rPr>
                <w:b/>
                <w:bCs/>
              </w:rPr>
              <w:t>.</w:t>
            </w:r>
            <w:r w:rsidRPr="00911941">
              <w:rPr>
                <w:b/>
                <w:bCs/>
              </w:rPr>
              <w:t xml:space="preserve"> Beslutningsgrundlag for etablering af 30-70 MW </w:t>
            </w:r>
            <w:r w:rsidR="00911941" w:rsidRPr="00911941">
              <w:rPr>
                <w:b/>
                <w:bCs/>
              </w:rPr>
              <w:t>metanolanlæg ved Hirtshals Havn</w:t>
            </w:r>
          </w:p>
          <w:p w14:paraId="586C8896" w14:textId="6A549ABE" w:rsidR="001B6184" w:rsidRDefault="00E67684" w:rsidP="00E67684">
            <w:r>
              <w:t>Green</w:t>
            </w:r>
            <w:r w:rsidR="004E2757">
              <w:t>p</w:t>
            </w:r>
            <w:r>
              <w:t xml:space="preserve">ort North forventer, at delprojekt </w:t>
            </w:r>
            <w:r w:rsidR="00C637F9">
              <w:t xml:space="preserve">VI. </w:t>
            </w:r>
            <w:r>
              <w:t xml:space="preserve">Roadmap vil tydeliggøre perspektiv, muligheder og forudsætninger for 100% bunkring af VE brændstoffer </w:t>
            </w:r>
            <w:r w:rsidR="001B4FC2">
              <w:t>fra Hirtshals Havn. Der arbejdes her med to spor, der begge vil indgå i de fremtidige muligheder for skibstrafik der lægger til her, nemlig LBG og grøn metanol. Metanol baseret på grøn brint og CO</w:t>
            </w:r>
            <w:r w:rsidR="001B4FC2" w:rsidRPr="00C637F9">
              <w:rPr>
                <w:vertAlign w:val="subscript"/>
              </w:rPr>
              <w:t>2</w:t>
            </w:r>
            <w:r w:rsidR="001B4FC2">
              <w:t xml:space="preserve"> ventes at have klart størst interesse internationalt, og der er betydelige synergier til nyttiggørelse af VE</w:t>
            </w:r>
            <w:r w:rsidR="00C637F9">
              <w:t>-</w:t>
            </w:r>
            <w:r w:rsidR="001B4FC2">
              <w:t>ressourcer og CO</w:t>
            </w:r>
            <w:r w:rsidR="001B4FC2" w:rsidRPr="00C637F9">
              <w:rPr>
                <w:vertAlign w:val="subscript"/>
              </w:rPr>
              <w:t>2</w:t>
            </w:r>
            <w:r w:rsidR="00C637F9">
              <w:t>-</w:t>
            </w:r>
            <w:r w:rsidR="001B4FC2">
              <w:t>kilder i regionen samt til lakseopdræt ved havnen. Derfor etableres et egentligt beslutningsgrundlag for etablering af et produktionsanlæg i Hirtshals.</w:t>
            </w:r>
          </w:p>
          <w:p w14:paraId="1870C5E8" w14:textId="3965266E" w:rsidR="001B6184" w:rsidRDefault="001B6184" w:rsidP="00E67684"/>
          <w:p w14:paraId="788018EF" w14:textId="27239BCC" w:rsidR="001B6184" w:rsidRDefault="001B6184" w:rsidP="00E67684">
            <w:r>
              <w:t>Beslutningsgrundlaget omfatter:</w:t>
            </w:r>
          </w:p>
          <w:p w14:paraId="013180EA" w14:textId="35230192" w:rsidR="001B6184" w:rsidRDefault="00E67684" w:rsidP="001B6184">
            <w:pPr>
              <w:pStyle w:val="Listeafsnit"/>
              <w:numPr>
                <w:ilvl w:val="0"/>
                <w:numId w:val="11"/>
              </w:numPr>
            </w:pPr>
            <w:r>
              <w:t>Fysiske placeringsmulig</w:t>
            </w:r>
            <w:r w:rsidR="00C637F9">
              <w:t>hed</w:t>
            </w:r>
            <w:r>
              <w:t>er af et PtX</w:t>
            </w:r>
            <w:r w:rsidR="00BA13CF">
              <w:t>-</w:t>
            </w:r>
            <w:r>
              <w:t xml:space="preserve">anlæg ved Hirtshals Havn i en samtænkning med den planlagte havneudvidelse </w:t>
            </w:r>
            <w:r w:rsidR="001B6184">
              <w:t>og med evt. etablering af vindmøller og solceller indenfor en radius af 10-15 km fra havnen</w:t>
            </w:r>
          </w:p>
          <w:p w14:paraId="2C2E93EB" w14:textId="7CE6199B" w:rsidR="001B6184" w:rsidRDefault="001B6184" w:rsidP="001B6184">
            <w:pPr>
              <w:pStyle w:val="Listeafsnit"/>
              <w:numPr>
                <w:ilvl w:val="0"/>
                <w:numId w:val="11"/>
              </w:numPr>
            </w:pPr>
            <w:r>
              <w:lastRenderedPageBreak/>
              <w:t xml:space="preserve">Udarbejde egentlig </w:t>
            </w:r>
            <w:r w:rsidR="00B6555D">
              <w:t xml:space="preserve">anlægskoncept og </w:t>
            </w:r>
            <w:r>
              <w:t>anlægslayout for et mindre anlæg (30 MW) og et større anlæg (70 MW)</w:t>
            </w:r>
          </w:p>
          <w:p w14:paraId="227153A2" w14:textId="37B88EF6" w:rsidR="001950F3" w:rsidRDefault="001950F3" w:rsidP="001B6184">
            <w:pPr>
              <w:pStyle w:val="Listeafsnit"/>
              <w:numPr>
                <w:ilvl w:val="0"/>
                <w:numId w:val="11"/>
              </w:numPr>
            </w:pPr>
            <w:r>
              <w:t>Indhente indikative tilbud fra mulige leverandører</w:t>
            </w:r>
          </w:p>
          <w:p w14:paraId="0B7F7629" w14:textId="2A823C27" w:rsidR="00E67684" w:rsidRDefault="001B6184" w:rsidP="001B6184">
            <w:pPr>
              <w:pStyle w:val="Listeafsnit"/>
              <w:numPr>
                <w:ilvl w:val="0"/>
                <w:numId w:val="11"/>
              </w:numPr>
            </w:pPr>
            <w:r>
              <w:t xml:space="preserve">Afklare efterspørgselssiden ved drøftelse med relevante rederier, bunkringsselskaber og brændstofhandlere. Herunder </w:t>
            </w:r>
            <w:r w:rsidR="00E67684">
              <w:t>bunkring for RoRo</w:t>
            </w:r>
          </w:p>
          <w:p w14:paraId="6935AB4F" w14:textId="260AD3B0" w:rsidR="001B6184" w:rsidRDefault="001B6184" w:rsidP="001B6184">
            <w:pPr>
              <w:pStyle w:val="Listeafsnit"/>
              <w:numPr>
                <w:ilvl w:val="0"/>
                <w:numId w:val="11"/>
              </w:numPr>
            </w:pPr>
            <w:r>
              <w:t>Udarbejde layout for bunkring</w:t>
            </w:r>
            <w:r w:rsidR="00B6555D">
              <w:t xml:space="preserve"> ved havnen</w:t>
            </w:r>
          </w:p>
          <w:p w14:paraId="66A59E28" w14:textId="290961B2" w:rsidR="00E67684" w:rsidRDefault="00B6555D" w:rsidP="00E67684">
            <w:pPr>
              <w:pStyle w:val="Listeafsnit"/>
              <w:numPr>
                <w:ilvl w:val="0"/>
                <w:numId w:val="11"/>
              </w:numPr>
            </w:pPr>
            <w:r>
              <w:t>Detaljerede modelanalyser til beregning af metanolproduktionsomkostninger (se nedenstående eksempel)</w:t>
            </w:r>
          </w:p>
          <w:p w14:paraId="19D4205C" w14:textId="2BD970CC" w:rsidR="005C2357" w:rsidRDefault="00A824EF" w:rsidP="00495070">
            <w:pPr>
              <w:pStyle w:val="Listeafsnit"/>
              <w:numPr>
                <w:ilvl w:val="0"/>
                <w:numId w:val="11"/>
              </w:numPr>
            </w:pPr>
            <w:r>
              <w:t>Foreslå kapitalstruktur og beregne IRR, forrentning af egenkapital, likviditetsanalyse m.v. under relevante forudsætninger</w:t>
            </w:r>
          </w:p>
          <w:p w14:paraId="0DCF1BAF" w14:textId="77777777" w:rsidR="008A65A1" w:rsidRDefault="00B6555D" w:rsidP="001950F3">
            <w:pPr>
              <w:pStyle w:val="Listeafsnit"/>
              <w:numPr>
                <w:ilvl w:val="0"/>
                <w:numId w:val="11"/>
              </w:numPr>
            </w:pPr>
            <w:r>
              <w:t>Parametervariationer med hensyn til: CO</w:t>
            </w:r>
            <w:r w:rsidRPr="00583FEA">
              <w:rPr>
                <w:vertAlign w:val="subscript"/>
              </w:rPr>
              <w:t>2</w:t>
            </w:r>
            <w:r w:rsidR="00583FEA">
              <w:t>-</w:t>
            </w:r>
            <w:r>
              <w:t>kilder</w:t>
            </w:r>
            <w:r w:rsidR="001950F3">
              <w:t xml:space="preserve">, </w:t>
            </w:r>
            <w:r w:rsidR="00583FEA">
              <w:t>CO</w:t>
            </w:r>
            <w:r w:rsidR="00583FEA" w:rsidRPr="00583FEA">
              <w:rPr>
                <w:vertAlign w:val="subscript"/>
              </w:rPr>
              <w:t>2</w:t>
            </w:r>
            <w:r w:rsidR="00583FEA">
              <w:t>-</w:t>
            </w:r>
            <w:r>
              <w:t>infrastruktur</w:t>
            </w:r>
            <w:r w:rsidR="001950F3">
              <w:t xml:space="preserve"> og </w:t>
            </w:r>
            <w:r w:rsidR="00583FEA">
              <w:t>CO</w:t>
            </w:r>
            <w:r w:rsidR="00583FEA" w:rsidRPr="00583FEA">
              <w:rPr>
                <w:vertAlign w:val="subscript"/>
              </w:rPr>
              <w:t>2</w:t>
            </w:r>
            <w:r w:rsidR="00583FEA">
              <w:t>-</w:t>
            </w:r>
            <w:r w:rsidR="001950F3">
              <w:t xml:space="preserve">priser, elressourcer, tarifstrukturer muligheder for PPA, fremtidige </w:t>
            </w:r>
            <w:r w:rsidR="00916682">
              <w:t>CO</w:t>
            </w:r>
            <w:r w:rsidR="00916682" w:rsidRPr="00583FEA">
              <w:rPr>
                <w:vertAlign w:val="subscript"/>
              </w:rPr>
              <w:t>2</w:t>
            </w:r>
            <w:r w:rsidR="00916682">
              <w:t>-</w:t>
            </w:r>
            <w:r w:rsidR="001950F3">
              <w:t xml:space="preserve">rammer for skibsfarten, salg af fjernvarme og </w:t>
            </w:r>
            <w:r w:rsidR="00916682">
              <w:t>O</w:t>
            </w:r>
            <w:r w:rsidR="00916682" w:rsidRPr="00583FEA">
              <w:rPr>
                <w:vertAlign w:val="subscript"/>
              </w:rPr>
              <w:t>2</w:t>
            </w:r>
            <w:r w:rsidR="001950F3">
              <w:t xml:space="preserve"> </w:t>
            </w:r>
          </w:p>
          <w:p w14:paraId="3F8E06FC" w14:textId="3CC933A5" w:rsidR="00911941" w:rsidRPr="00911941" w:rsidRDefault="001950F3" w:rsidP="001950F3">
            <w:pPr>
              <w:pStyle w:val="Listeafsnit"/>
              <w:numPr>
                <w:ilvl w:val="0"/>
                <w:numId w:val="11"/>
              </w:numPr>
            </w:pPr>
            <w:r>
              <w:t>Rammer i øvrigt.</w:t>
            </w:r>
          </w:p>
          <w:p w14:paraId="4728970B" w14:textId="77777777" w:rsidR="00030212" w:rsidRDefault="00030212" w:rsidP="00030212"/>
          <w:p w14:paraId="1AFE24EF" w14:textId="6E10D4EA" w:rsidR="000A258D" w:rsidRDefault="001950F3" w:rsidP="00030212">
            <w:r>
              <w:t>Ved udarbejdelse af beslutningsgrundlaget inddrages Hjørring Kommune, Hirtshals Havn og den nødvendige konsulentekspertise</w:t>
            </w:r>
            <w:r w:rsidR="00A824EF">
              <w:t>, og der tages kontakt til mulige investorer og långivere.</w:t>
            </w:r>
          </w:p>
          <w:p w14:paraId="5F45FE6F" w14:textId="77777777" w:rsidR="000A258D" w:rsidRDefault="000A258D" w:rsidP="005547AB">
            <w:pPr>
              <w:spacing w:after="160" w:line="259" w:lineRule="auto"/>
            </w:pPr>
          </w:p>
          <w:p w14:paraId="4BCFB505" w14:textId="3ABB65CF" w:rsidR="00494B05" w:rsidRDefault="00716945" w:rsidP="005547AB">
            <w:pPr>
              <w:spacing w:after="160" w:line="259" w:lineRule="auto"/>
            </w:pPr>
            <w:r>
              <w:rPr>
                <w:noProof/>
              </w:rPr>
              <w:drawing>
                <wp:inline distT="0" distB="0" distL="0" distR="0" wp14:anchorId="3B30ACE3" wp14:editId="688E1D06">
                  <wp:extent cx="4072255" cy="30544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8143" cy="3058819"/>
                          </a:xfrm>
                          <a:prstGeom prst="rect">
                            <a:avLst/>
                          </a:prstGeom>
                          <a:noFill/>
                          <a:ln>
                            <a:noFill/>
                          </a:ln>
                        </pic:spPr>
                      </pic:pic>
                    </a:graphicData>
                  </a:graphic>
                </wp:inline>
              </w:drawing>
            </w:r>
          </w:p>
          <w:p w14:paraId="3DE926D4" w14:textId="04A4ED64" w:rsidR="00651D71" w:rsidRPr="00C66275" w:rsidRDefault="005A45BA" w:rsidP="005547AB">
            <w:pPr>
              <w:spacing w:after="160" w:line="259" w:lineRule="auto"/>
              <w:rPr>
                <w:i/>
                <w:sz w:val="20"/>
                <w:szCs w:val="20"/>
              </w:rPr>
            </w:pPr>
            <w:r>
              <w:rPr>
                <w:i/>
                <w:iCs/>
                <w:sz w:val="20"/>
                <w:szCs w:val="20"/>
              </w:rPr>
              <w:t>Eksiste</w:t>
            </w:r>
            <w:r w:rsidR="00B8187D">
              <w:rPr>
                <w:i/>
                <w:iCs/>
                <w:sz w:val="20"/>
                <w:szCs w:val="20"/>
              </w:rPr>
              <w:t>re</w:t>
            </w:r>
            <w:r>
              <w:rPr>
                <w:i/>
                <w:iCs/>
                <w:sz w:val="20"/>
                <w:szCs w:val="20"/>
              </w:rPr>
              <w:t>nde</w:t>
            </w:r>
            <w:r w:rsidR="00193E77">
              <w:rPr>
                <w:i/>
                <w:iCs/>
                <w:sz w:val="20"/>
                <w:szCs w:val="20"/>
              </w:rPr>
              <w:t xml:space="preserve"> </w:t>
            </w:r>
            <w:r w:rsidR="00E64919">
              <w:rPr>
                <w:i/>
                <w:iCs/>
                <w:sz w:val="20"/>
                <w:szCs w:val="20"/>
              </w:rPr>
              <w:t>brændsto</w:t>
            </w:r>
            <w:r w:rsidR="00351FEF">
              <w:rPr>
                <w:i/>
                <w:iCs/>
                <w:sz w:val="20"/>
                <w:szCs w:val="20"/>
              </w:rPr>
              <w:t>f</w:t>
            </w:r>
            <w:r w:rsidR="00193E77">
              <w:rPr>
                <w:i/>
                <w:iCs/>
                <w:sz w:val="20"/>
                <w:szCs w:val="20"/>
              </w:rPr>
              <w:t>tanke på havnen i Hirtshals.</w:t>
            </w:r>
          </w:p>
          <w:p w14:paraId="2B5ACD70" w14:textId="14CFDEFD" w:rsidR="00D3467C" w:rsidRDefault="00D3467C" w:rsidP="005547AB">
            <w:pPr>
              <w:spacing w:after="160" w:line="259" w:lineRule="auto"/>
            </w:pPr>
          </w:p>
          <w:p w14:paraId="3C34DE1F" w14:textId="6381E40E" w:rsidR="00030212" w:rsidRPr="00030212" w:rsidRDefault="00030212" w:rsidP="00030212">
            <w:pPr>
              <w:rPr>
                <w:b/>
                <w:bCs/>
              </w:rPr>
            </w:pPr>
            <w:r w:rsidRPr="00030212">
              <w:rPr>
                <w:b/>
                <w:bCs/>
              </w:rPr>
              <w:t>IV</w:t>
            </w:r>
            <w:r w:rsidR="00DE4614">
              <w:rPr>
                <w:b/>
                <w:bCs/>
              </w:rPr>
              <w:t>.</w:t>
            </w:r>
            <w:r w:rsidRPr="00030212">
              <w:rPr>
                <w:b/>
                <w:bCs/>
              </w:rPr>
              <w:t xml:space="preserve"> Eksperimentel analyse og optimering af CO</w:t>
            </w:r>
            <w:r w:rsidRPr="00030212">
              <w:rPr>
                <w:b/>
                <w:bCs/>
                <w:vertAlign w:val="subscript"/>
              </w:rPr>
              <w:t>2</w:t>
            </w:r>
            <w:r w:rsidR="00E33D84">
              <w:rPr>
                <w:b/>
                <w:bCs/>
              </w:rPr>
              <w:t>-</w:t>
            </w:r>
            <w:r w:rsidRPr="00030212">
              <w:rPr>
                <w:b/>
                <w:bCs/>
              </w:rPr>
              <w:t>fangst og optimal CO</w:t>
            </w:r>
            <w:r w:rsidRPr="00030212">
              <w:rPr>
                <w:b/>
                <w:bCs/>
                <w:vertAlign w:val="subscript"/>
              </w:rPr>
              <w:t>2</w:t>
            </w:r>
            <w:r w:rsidR="00E97120">
              <w:rPr>
                <w:b/>
                <w:bCs/>
              </w:rPr>
              <w:t>-</w:t>
            </w:r>
            <w:r w:rsidRPr="00030212">
              <w:rPr>
                <w:b/>
                <w:bCs/>
              </w:rPr>
              <w:t xml:space="preserve">transport til Hirtshals </w:t>
            </w:r>
            <w:r w:rsidR="00E97120">
              <w:rPr>
                <w:b/>
                <w:bCs/>
              </w:rPr>
              <w:t>H</w:t>
            </w:r>
            <w:r w:rsidRPr="00030212">
              <w:rPr>
                <w:b/>
                <w:bCs/>
              </w:rPr>
              <w:t>avn</w:t>
            </w:r>
          </w:p>
          <w:p w14:paraId="45478CC2" w14:textId="64F2B5FD" w:rsidR="00030212" w:rsidRDefault="00030212" w:rsidP="005547AB">
            <w:pPr>
              <w:spacing w:after="160" w:line="259" w:lineRule="auto"/>
            </w:pPr>
            <w:r>
              <w:t xml:space="preserve">Med CC(U)S som </w:t>
            </w:r>
            <w:r w:rsidR="0087310D">
              <w:t xml:space="preserve">bærende ide </w:t>
            </w:r>
            <w:r>
              <w:t>for det samlede regional</w:t>
            </w:r>
            <w:r w:rsidR="0087310D">
              <w:t>e</w:t>
            </w:r>
            <w:r>
              <w:t xml:space="preserve"> fyrtårnsprojekt</w:t>
            </w:r>
            <w:r w:rsidR="00061A28">
              <w:t>, er det afgørende at der sikres en regional vidensopbygning hos potentielle udstyrsleverandører og vidensinstitutioner.</w:t>
            </w:r>
            <w:r w:rsidR="002F5714">
              <w:t xml:space="preserve"> Dette behov gælder i særlig grad ved visionen om 100% VE</w:t>
            </w:r>
            <w:r w:rsidR="006E08EC">
              <w:t>-</w:t>
            </w:r>
            <w:r w:rsidR="002F5714">
              <w:t>bunkring fra Hirtshals.</w:t>
            </w:r>
          </w:p>
          <w:p w14:paraId="12FD1A24" w14:textId="62F09FA6" w:rsidR="00061A28" w:rsidRDefault="00950CFD" w:rsidP="005547AB">
            <w:pPr>
              <w:spacing w:after="160" w:line="259" w:lineRule="auto"/>
            </w:pPr>
            <w:r>
              <w:lastRenderedPageBreak/>
              <w:t xml:space="preserve">Institut for Energinergiteknik, </w:t>
            </w:r>
            <w:r w:rsidR="00061A28">
              <w:t>Aalborg Universitet har</w:t>
            </w:r>
            <w:r>
              <w:t xml:space="preserve"> i en årrække drevet banebrydende forskning indenfor en række af de emnefelter der er afgørende for at komme i mål med den grønne omstilling. </w:t>
            </w:r>
            <w:r w:rsidR="00DB36B8">
              <w:t xml:space="preserve">Emnerne omfatter </w:t>
            </w:r>
            <w:r>
              <w:t xml:space="preserve">integration af vedvarende energi, kulstofopsamling og produktion af VE brændstoffer. </w:t>
            </w:r>
            <w:r w:rsidR="00FA6FE1">
              <w:t xml:space="preserve">AAU </w:t>
            </w:r>
            <w:r w:rsidR="002F5714">
              <w:t xml:space="preserve">har i denne </w:t>
            </w:r>
            <w:r>
              <w:t>sammenhæng definere</w:t>
            </w:r>
            <w:r w:rsidR="002F5714">
              <w:t>t</w:t>
            </w:r>
            <w:r>
              <w:t xml:space="preserve"> et projekt der er centreret omkring </w:t>
            </w:r>
            <w:r w:rsidR="002F5714">
              <w:t>fire</w:t>
            </w:r>
            <w:r>
              <w:t xml:space="preserve"> forhold:</w:t>
            </w:r>
          </w:p>
          <w:p w14:paraId="4B2CBA46" w14:textId="273AD4F8" w:rsidR="00950CFD" w:rsidRDefault="00950CFD" w:rsidP="00950CFD">
            <w:pPr>
              <w:pStyle w:val="Listeafsnit"/>
              <w:numPr>
                <w:ilvl w:val="0"/>
                <w:numId w:val="13"/>
              </w:numPr>
            </w:pPr>
            <w:r>
              <w:t>Vurdere betydningen for det samlede regionale energisystem, at der etableres yderligere VE</w:t>
            </w:r>
            <w:r w:rsidR="00AF0208">
              <w:t>-</w:t>
            </w:r>
            <w:r>
              <w:t>produktion i form af sol og vind i kombination med yderligere fleksibelt elforbrug i form af et PtX</w:t>
            </w:r>
            <w:r w:rsidR="00AF0208">
              <w:t>-</w:t>
            </w:r>
            <w:r>
              <w:t>anlæg på Hirtshals</w:t>
            </w:r>
          </w:p>
          <w:p w14:paraId="5F1AFC40" w14:textId="28782091" w:rsidR="005C2357" w:rsidRDefault="002F5714" w:rsidP="005C2357">
            <w:pPr>
              <w:pStyle w:val="Listeafsnit"/>
              <w:numPr>
                <w:ilvl w:val="0"/>
                <w:numId w:val="13"/>
              </w:numPr>
            </w:pPr>
            <w:r>
              <w:t>Foretage eksperimentelle analyser omkring CO</w:t>
            </w:r>
            <w:r w:rsidR="00AF0208" w:rsidRPr="00AF0208">
              <w:rPr>
                <w:vertAlign w:val="subscript"/>
              </w:rPr>
              <w:t>2</w:t>
            </w:r>
            <w:r w:rsidR="00AF0208">
              <w:t>-</w:t>
            </w:r>
            <w:r>
              <w:t>fangst-anlægget ved GrønGas Hjørring. Herunder analyser af energioptimering og muligheder for nyttiggørelse af fleksibilitet</w:t>
            </w:r>
          </w:p>
          <w:p w14:paraId="1BEC9DEE" w14:textId="4D685F65" w:rsidR="002F5714" w:rsidRDefault="002F5714" w:rsidP="00950CFD">
            <w:pPr>
              <w:pStyle w:val="Listeafsnit"/>
              <w:numPr>
                <w:ilvl w:val="0"/>
                <w:numId w:val="13"/>
              </w:numPr>
            </w:pPr>
            <w:r>
              <w:t>Udføre systemanalyser af forskellige modeller for kulstoffangst, CO</w:t>
            </w:r>
            <w:r w:rsidR="007F2650" w:rsidRPr="007F2650">
              <w:rPr>
                <w:vertAlign w:val="subscript"/>
              </w:rPr>
              <w:t>2</w:t>
            </w:r>
            <w:r w:rsidR="007F2650">
              <w:t>-</w:t>
            </w:r>
            <w:r>
              <w:t xml:space="preserve">transport og </w:t>
            </w:r>
            <w:r w:rsidR="007F2650">
              <w:t>CO</w:t>
            </w:r>
            <w:r w:rsidR="007F2650" w:rsidRPr="007F2650">
              <w:rPr>
                <w:vertAlign w:val="subscript"/>
              </w:rPr>
              <w:t>2</w:t>
            </w:r>
            <w:r w:rsidR="007F2650">
              <w:t>-</w:t>
            </w:r>
            <w:r>
              <w:t>nyttiggørelse</w:t>
            </w:r>
          </w:p>
          <w:p w14:paraId="7D1DA05C" w14:textId="18FC07E1" w:rsidR="002F5714" w:rsidRDefault="002F5714" w:rsidP="00950CFD">
            <w:pPr>
              <w:pStyle w:val="Listeafsnit"/>
              <w:numPr>
                <w:ilvl w:val="0"/>
                <w:numId w:val="13"/>
              </w:numPr>
            </w:pPr>
            <w:r>
              <w:t xml:space="preserve">Vurdere de langsigtede muligheder for DAC, for at </w:t>
            </w:r>
            <w:r w:rsidR="00B653FE">
              <w:t>samtænke produktion af kulstofbaserede PtX</w:t>
            </w:r>
            <w:r w:rsidR="00870502">
              <w:t>-</w:t>
            </w:r>
            <w:r w:rsidR="00B653FE">
              <w:t>brændsler med de langsigtede muligheder for at fremskaffe tilstrækkeligt kulstof i regionen.</w:t>
            </w:r>
            <w:r>
              <w:t xml:space="preserve"> </w:t>
            </w:r>
          </w:p>
          <w:p w14:paraId="5A7763A5" w14:textId="77777777" w:rsidR="002F5714" w:rsidRDefault="002F5714" w:rsidP="002F5714"/>
          <w:p w14:paraId="4ACF94C9" w14:textId="1648ABC8" w:rsidR="002F5714" w:rsidRDefault="002F5714" w:rsidP="002F5714">
            <w:r>
              <w:t xml:space="preserve">Ved </w:t>
            </w:r>
            <w:r w:rsidR="00B653FE">
              <w:t>tilrettelæggelsen af analyserne inddrages GrønGas Hjørring, Evida, Green</w:t>
            </w:r>
            <w:r w:rsidR="005C2357">
              <w:t>p</w:t>
            </w:r>
            <w:r w:rsidR="00B653FE">
              <w:t>ort</w:t>
            </w:r>
            <w:r w:rsidR="005C2357">
              <w:t xml:space="preserve"> </w:t>
            </w:r>
            <w:r w:rsidR="00B653FE">
              <w:t>North og AVV. Endvidere koordineres tæt med delprojekt</w:t>
            </w:r>
            <w:r w:rsidR="000B435F">
              <w:t xml:space="preserve"> V. om innovationsplatformen</w:t>
            </w:r>
            <w:r>
              <w:t>.</w:t>
            </w:r>
          </w:p>
          <w:p w14:paraId="4FB484AF" w14:textId="77777777" w:rsidR="00567AB5" w:rsidRDefault="00567AB5" w:rsidP="002F5714">
            <w:pPr>
              <w:rPr>
                <w:b/>
                <w:bCs/>
              </w:rPr>
            </w:pPr>
          </w:p>
          <w:p w14:paraId="1A7B88C1" w14:textId="0C770107" w:rsidR="00567AB5" w:rsidRPr="00567AB5" w:rsidRDefault="00567AB5" w:rsidP="002F5714">
            <w:pPr>
              <w:rPr>
                <w:b/>
                <w:bCs/>
              </w:rPr>
            </w:pPr>
            <w:r w:rsidRPr="00567AB5">
              <w:rPr>
                <w:b/>
                <w:bCs/>
              </w:rPr>
              <w:t>V.</w:t>
            </w:r>
            <w:r>
              <w:rPr>
                <w:b/>
                <w:bCs/>
              </w:rPr>
              <w:t xml:space="preserve"> </w:t>
            </w:r>
            <w:r w:rsidR="00B7316C">
              <w:rPr>
                <w:b/>
                <w:bCs/>
              </w:rPr>
              <w:t>Udvikle innovationsplatform</w:t>
            </w:r>
            <w:r w:rsidRPr="00567AB5">
              <w:rPr>
                <w:b/>
                <w:bCs/>
              </w:rPr>
              <w:t xml:space="preserve"> om grønt brændstof til skibsfart</w:t>
            </w:r>
          </w:p>
          <w:p w14:paraId="65D2C501" w14:textId="1CED17E8" w:rsidR="00904E4D" w:rsidRPr="009C2009" w:rsidRDefault="009C2009" w:rsidP="002F5714">
            <w:r w:rsidRPr="009C2009">
              <w:t xml:space="preserve">Når </w:t>
            </w:r>
            <w:r>
              <w:t xml:space="preserve">skibsfarten skal </w:t>
            </w:r>
            <w:r w:rsidR="00AA4573">
              <w:t>overgå til 100% VE</w:t>
            </w:r>
            <w:r w:rsidR="00B7316C">
              <w:t>-</w:t>
            </w:r>
            <w:r w:rsidR="00AA4573">
              <w:t xml:space="preserve">forsyning </w:t>
            </w:r>
            <w:r w:rsidR="008338A9">
              <w:t xml:space="preserve">er der en række </w:t>
            </w:r>
            <w:r w:rsidR="00AF6AEE">
              <w:t xml:space="preserve">organisatoriske, reguleringsmæssige, </w:t>
            </w:r>
            <w:r w:rsidR="00107A94">
              <w:t>økonomiske og tekniske udfordringer der skal belyses og løses.</w:t>
            </w:r>
            <w:r w:rsidR="002A4587">
              <w:t xml:space="preserve"> Green</w:t>
            </w:r>
            <w:r w:rsidR="00B7316C">
              <w:t>p</w:t>
            </w:r>
            <w:r w:rsidR="002A4587">
              <w:t xml:space="preserve">ort North </w:t>
            </w:r>
            <w:r w:rsidR="00421CAE">
              <w:t>har behov for</w:t>
            </w:r>
            <w:r w:rsidR="008D70F7">
              <w:t xml:space="preserve"> vidensindsamling</w:t>
            </w:r>
            <w:r w:rsidR="00BD5D1D">
              <w:t>,</w:t>
            </w:r>
            <w:r w:rsidR="008D70F7">
              <w:t xml:space="preserve"> vidensudvikling </w:t>
            </w:r>
            <w:r w:rsidR="00BD5D1D">
              <w:t xml:space="preserve">og ikke mindst vidensdeling </w:t>
            </w:r>
            <w:r w:rsidR="008D70F7">
              <w:t xml:space="preserve">på et </w:t>
            </w:r>
            <w:r w:rsidR="002B28D3">
              <w:t>højt fagligt</w:t>
            </w:r>
            <w:r w:rsidR="008D70F7">
              <w:t xml:space="preserve"> niveau. </w:t>
            </w:r>
            <w:r w:rsidR="00792FA8">
              <w:t xml:space="preserve">Udfordringerne </w:t>
            </w:r>
            <w:r w:rsidR="003A0803">
              <w:t xml:space="preserve">vedrører dels </w:t>
            </w:r>
            <w:r w:rsidR="000D6E1F">
              <w:t xml:space="preserve">en grundlæggende </w:t>
            </w:r>
            <w:r w:rsidR="00E210D0">
              <w:t xml:space="preserve">behovsanalyse </w:t>
            </w:r>
            <w:r w:rsidR="00A728C7">
              <w:t xml:space="preserve">for de forskellige typer skibsfart for </w:t>
            </w:r>
            <w:r w:rsidR="0029488F">
              <w:t xml:space="preserve">bedst </w:t>
            </w:r>
            <w:r w:rsidR="00A728C7">
              <w:t xml:space="preserve">at kunne tilrettelægge </w:t>
            </w:r>
            <w:r w:rsidR="00791044">
              <w:t>hvilke udbud af VE</w:t>
            </w:r>
            <w:r w:rsidR="00B7316C">
              <w:t>-</w:t>
            </w:r>
            <w:r w:rsidR="00791044">
              <w:t>brændstoffer</w:t>
            </w:r>
            <w:r w:rsidR="00B7316C">
              <w:t>,</w:t>
            </w:r>
            <w:r w:rsidR="00791044">
              <w:t xml:space="preserve"> der bør tilbydes hvornår. Hertil kommer </w:t>
            </w:r>
            <w:r w:rsidR="009B1675">
              <w:t>behovet for</w:t>
            </w:r>
            <w:r w:rsidR="00791044">
              <w:t xml:space="preserve"> </w:t>
            </w:r>
            <w:r w:rsidR="006B3701">
              <w:t>god</w:t>
            </w:r>
            <w:r w:rsidR="00374169">
              <w:t xml:space="preserve">t samspil med øvrige </w:t>
            </w:r>
            <w:r w:rsidR="00D571C3">
              <w:t xml:space="preserve">havne </w:t>
            </w:r>
            <w:r w:rsidR="00BD3BDA">
              <w:t>og potentielle VE-brændstof</w:t>
            </w:r>
            <w:r w:rsidR="00B7316C">
              <w:t>-</w:t>
            </w:r>
            <w:r w:rsidR="00BD3BDA">
              <w:t>udbydere</w:t>
            </w:r>
            <w:r w:rsidR="001407C5">
              <w:t>. Endelig er der behov for systematisk viden</w:t>
            </w:r>
            <w:r w:rsidR="00C96CD4">
              <w:t xml:space="preserve">sdeling med regionale </w:t>
            </w:r>
            <w:r w:rsidR="00212B12">
              <w:t>interessenter</w:t>
            </w:r>
            <w:r w:rsidR="00DE637B">
              <w:t xml:space="preserve"> blandt SMV-virksomheder og vidensinstitutioner for at sikre </w:t>
            </w:r>
            <w:r w:rsidR="00E47C50">
              <w:t xml:space="preserve">en fælles forståelse af realismen i </w:t>
            </w:r>
            <w:r w:rsidR="001B3B20">
              <w:t xml:space="preserve">de visioner </w:t>
            </w:r>
            <w:r w:rsidR="005C390B">
              <w:t xml:space="preserve">der udarbejdes </w:t>
            </w:r>
            <w:r w:rsidR="00AA37AF">
              <w:t>i regi af Greenport North.</w:t>
            </w:r>
          </w:p>
          <w:p w14:paraId="1A44344A" w14:textId="77777777" w:rsidR="005542BC" w:rsidRDefault="005542BC" w:rsidP="002F5714"/>
          <w:p w14:paraId="2C1BD81D" w14:textId="6C45F148" w:rsidR="005542BC" w:rsidRDefault="00AE5082" w:rsidP="005542BC">
            <w:r>
              <w:t>Udvikling af i</w:t>
            </w:r>
            <w:r w:rsidR="00B7316C">
              <w:t xml:space="preserve">nnovationsplatformen </w:t>
            </w:r>
            <w:r w:rsidR="005542BC">
              <w:t xml:space="preserve">vil </w:t>
            </w:r>
            <w:r>
              <w:t xml:space="preserve">foregå i </w:t>
            </w:r>
            <w:r w:rsidR="005542BC">
              <w:t xml:space="preserve">et tæt samarbejde </w:t>
            </w:r>
            <w:r w:rsidR="00061C84">
              <w:t xml:space="preserve">med </w:t>
            </w:r>
            <w:r>
              <w:t>M</w:t>
            </w:r>
            <w:r w:rsidR="00242538">
              <w:t>ARLOG</w:t>
            </w:r>
            <w:r>
              <w:t xml:space="preserve"> </w:t>
            </w:r>
            <w:r w:rsidR="003165CA">
              <w:t>samt med n</w:t>
            </w:r>
            <w:r w:rsidR="00061C84">
              <w:t xml:space="preserve">ordjyske havne, </w:t>
            </w:r>
            <w:r w:rsidR="003165CA">
              <w:t>d</w:t>
            </w:r>
            <w:r w:rsidR="00061C84">
              <w:t xml:space="preserve">anske rederier, </w:t>
            </w:r>
            <w:r w:rsidR="006A31F6">
              <w:t xml:space="preserve">relevante myndigheder, </w:t>
            </w:r>
            <w:r w:rsidR="00061C84">
              <w:t>AAU</w:t>
            </w:r>
            <w:r w:rsidR="005542BC">
              <w:t xml:space="preserve"> og </w:t>
            </w:r>
            <w:r w:rsidR="000446EA">
              <w:t xml:space="preserve">lokale erhvervsorganisationer. </w:t>
            </w:r>
          </w:p>
          <w:p w14:paraId="4163C8D1" w14:textId="77777777" w:rsidR="005542BC" w:rsidRPr="009C2009" w:rsidRDefault="005542BC" w:rsidP="002F5714"/>
          <w:p w14:paraId="32842327" w14:textId="2DDC1295" w:rsidR="00250978" w:rsidRPr="00250978" w:rsidRDefault="00250978" w:rsidP="00250978">
            <w:pPr>
              <w:rPr>
                <w:b/>
                <w:bCs/>
              </w:rPr>
            </w:pPr>
            <w:r w:rsidRPr="00250978">
              <w:rPr>
                <w:b/>
                <w:bCs/>
              </w:rPr>
              <w:t>VI</w:t>
            </w:r>
            <w:r w:rsidR="00DE4614">
              <w:rPr>
                <w:b/>
                <w:bCs/>
              </w:rPr>
              <w:t>.</w:t>
            </w:r>
            <w:r w:rsidRPr="00250978">
              <w:rPr>
                <w:b/>
                <w:bCs/>
              </w:rPr>
              <w:t xml:space="preserve"> Udarbejde samlet roadmap for 100% VE</w:t>
            </w:r>
            <w:r w:rsidR="003165CA">
              <w:rPr>
                <w:b/>
                <w:bCs/>
              </w:rPr>
              <w:t>-</w:t>
            </w:r>
            <w:r w:rsidRPr="00250978">
              <w:rPr>
                <w:b/>
                <w:bCs/>
              </w:rPr>
              <w:t>brændstof i Hirtshals Havn</w:t>
            </w:r>
          </w:p>
          <w:p w14:paraId="7CF6A38F" w14:textId="3BD1A82E" w:rsidR="006D7A11" w:rsidRPr="00F85834" w:rsidRDefault="00F85834" w:rsidP="00250978">
            <w:r>
              <w:t xml:space="preserve">I </w:t>
            </w:r>
            <w:r w:rsidR="006A6000">
              <w:t>d</w:t>
            </w:r>
            <w:r w:rsidRPr="00F85834">
              <w:t>ette</w:t>
            </w:r>
            <w:r w:rsidR="006A6000">
              <w:t xml:space="preserve"> delprojekt udarbejdes den samlede </w:t>
            </w:r>
            <w:r w:rsidR="00D447AD">
              <w:t xml:space="preserve">analyse og fremskrivning der lægger grundlaget for </w:t>
            </w:r>
            <w:r w:rsidR="00F96529">
              <w:t>100% VE</w:t>
            </w:r>
            <w:r w:rsidR="004147BB">
              <w:t>-</w:t>
            </w:r>
            <w:r w:rsidR="00F96529">
              <w:t xml:space="preserve">brændstoffer </w:t>
            </w:r>
            <w:r w:rsidR="00F739D9">
              <w:t xml:space="preserve">i Hirtshals Havn. </w:t>
            </w:r>
            <w:r w:rsidR="00851924">
              <w:t xml:space="preserve">Endvidere vil </w:t>
            </w:r>
            <w:r w:rsidR="004147BB">
              <w:t>r</w:t>
            </w:r>
            <w:r w:rsidR="00851924">
              <w:t xml:space="preserve">oadmappet </w:t>
            </w:r>
            <w:r w:rsidR="00330AA3">
              <w:t xml:space="preserve">belyse mulighederne for egentlig brændstofeksport </w:t>
            </w:r>
            <w:r w:rsidR="00570F4F">
              <w:t>fra</w:t>
            </w:r>
            <w:r w:rsidR="00330AA3">
              <w:t xml:space="preserve"> Hirtshals</w:t>
            </w:r>
            <w:r w:rsidR="00570F4F">
              <w:t xml:space="preserve"> til international bunkring</w:t>
            </w:r>
            <w:r w:rsidR="00B8696C">
              <w:t xml:space="preserve"> </w:t>
            </w:r>
            <w:r w:rsidR="001668FD">
              <w:t xml:space="preserve">og </w:t>
            </w:r>
            <w:r w:rsidR="00B8696C">
              <w:t>på længere sigt</w:t>
            </w:r>
            <w:r w:rsidR="001668FD">
              <w:t>,</w:t>
            </w:r>
            <w:r w:rsidR="009B5E9A">
              <w:t xml:space="preserve"> </w:t>
            </w:r>
            <w:r w:rsidR="009B5E9A" w:rsidRPr="009B5E9A">
              <w:t>metanolanlæg på havnen. Roadmap</w:t>
            </w:r>
            <w:r w:rsidR="00151C01">
              <w:t>pet</w:t>
            </w:r>
            <w:r w:rsidR="009B5E9A" w:rsidRPr="009B5E9A">
              <w:t xml:space="preserve"> </w:t>
            </w:r>
            <w:r w:rsidR="009B5E9A">
              <w:t xml:space="preserve">vil </w:t>
            </w:r>
            <w:r w:rsidR="009B5E9A" w:rsidRPr="009B5E9A">
              <w:t>dybde-analysere og muliggøre dette</w:t>
            </w:r>
            <w:r w:rsidR="00151C01">
              <w:t xml:space="preserve"> og h</w:t>
            </w:r>
            <w:r w:rsidR="00CF53CF">
              <w:t xml:space="preserve">erunder </w:t>
            </w:r>
            <w:r w:rsidR="00504596">
              <w:t>vurdere</w:t>
            </w:r>
            <w:r w:rsidR="009B5E9A" w:rsidRPr="009B5E9A">
              <w:t xml:space="preserve"> og forberede den kommende infrastruktur langs E39,</w:t>
            </w:r>
            <w:r w:rsidR="00151C01">
              <w:t xml:space="preserve"> </w:t>
            </w:r>
            <w:r w:rsidR="009B5E9A" w:rsidRPr="009B5E9A">
              <w:t>med korridoren op til Hirtshals Havn og forberede indsejli</w:t>
            </w:r>
            <w:r w:rsidR="00B20042">
              <w:t>n</w:t>
            </w:r>
            <w:r w:rsidR="009B5E9A" w:rsidRPr="009B5E9A">
              <w:t>g og bunkring af grønt brændstof på havnens område</w:t>
            </w:r>
            <w:r w:rsidR="00B8696C">
              <w:t>.</w:t>
            </w:r>
          </w:p>
          <w:p w14:paraId="0CC2A8D9" w14:textId="77777777" w:rsidR="00B8696C" w:rsidRDefault="00B8696C" w:rsidP="00250978"/>
          <w:p w14:paraId="4266775F" w14:textId="00346E28" w:rsidR="00B8696C" w:rsidRPr="00F85834" w:rsidRDefault="00B8696C" w:rsidP="00250978">
            <w:r>
              <w:t>Roadmap</w:t>
            </w:r>
            <w:r w:rsidR="0033228C">
              <w:t>pet</w:t>
            </w:r>
            <w:r>
              <w:t xml:space="preserve"> vil have nedslagspunkter i </w:t>
            </w:r>
            <w:r w:rsidR="00FC7622">
              <w:t>2023, 2025, 203</w:t>
            </w:r>
            <w:r w:rsidR="00F3316B">
              <w:t>0, 20</w:t>
            </w:r>
            <w:r w:rsidR="00AA2756">
              <w:t>40 og 2050.</w:t>
            </w:r>
            <w:r w:rsidR="00240A9E">
              <w:t xml:space="preserve"> Til </w:t>
            </w:r>
            <w:r w:rsidR="0033228C">
              <w:t>r</w:t>
            </w:r>
            <w:r w:rsidR="00E30A65">
              <w:t>oadmap</w:t>
            </w:r>
            <w:r w:rsidR="0033228C">
              <w:t>pet</w:t>
            </w:r>
            <w:r w:rsidR="00E30A65">
              <w:t xml:space="preserve"> udarbejdes en forudsætningspublikation </w:t>
            </w:r>
            <w:r w:rsidR="00261852">
              <w:t xml:space="preserve">der publiceres i </w:t>
            </w:r>
            <w:r w:rsidR="00FB59D2">
              <w:t xml:space="preserve">januar 2023. </w:t>
            </w:r>
            <w:r w:rsidR="00FE4FE0">
              <w:lastRenderedPageBreak/>
              <w:t xml:space="preserve">Publikationen tager </w:t>
            </w:r>
            <w:r w:rsidR="00695040">
              <w:t>metodisk inspiration fra World Energy Outlook</w:t>
            </w:r>
            <w:r w:rsidR="0039264E">
              <w:t xml:space="preserve">, og udarbejder </w:t>
            </w:r>
            <w:r w:rsidR="00EF2868">
              <w:t xml:space="preserve">tre udviklingsscenarier </w:t>
            </w:r>
            <w:r w:rsidR="00215C8B">
              <w:t>vedr</w:t>
            </w:r>
            <w:r w:rsidR="00BA5E33">
              <w:t>ørende:</w:t>
            </w:r>
          </w:p>
          <w:p w14:paraId="76C34BE0" w14:textId="54CBD934" w:rsidR="00324E78" w:rsidRPr="00F85834" w:rsidRDefault="000374B4" w:rsidP="00324E78">
            <w:pPr>
              <w:pStyle w:val="Listeafsnit"/>
              <w:numPr>
                <w:ilvl w:val="0"/>
                <w:numId w:val="15"/>
              </w:numPr>
            </w:pPr>
            <w:r>
              <w:t>Infrastruk</w:t>
            </w:r>
            <w:r w:rsidR="009450E3">
              <w:t>t</w:t>
            </w:r>
            <w:r>
              <w:t>ur</w:t>
            </w:r>
            <w:r w:rsidR="001C7FCD">
              <w:t xml:space="preserve">udvikling </w:t>
            </w:r>
            <w:r w:rsidR="00546B8A">
              <w:t xml:space="preserve">med relevans for Hjørring Kommune/Hirtshals </w:t>
            </w:r>
            <w:r w:rsidR="0033228C">
              <w:t>H</w:t>
            </w:r>
            <w:r w:rsidR="00546B8A">
              <w:t xml:space="preserve">avn </w:t>
            </w:r>
            <w:r w:rsidR="009450E3">
              <w:t>vedrørende el-gas-vej-bane-varme</w:t>
            </w:r>
          </w:p>
          <w:p w14:paraId="315DEB1C" w14:textId="02532E6E" w:rsidR="002E49E7" w:rsidRDefault="002E49E7" w:rsidP="00324E78">
            <w:pPr>
              <w:pStyle w:val="Listeafsnit"/>
              <w:numPr>
                <w:ilvl w:val="0"/>
                <w:numId w:val="15"/>
              </w:numPr>
            </w:pPr>
            <w:r>
              <w:t xml:space="preserve">Transportmængder </w:t>
            </w:r>
            <w:r w:rsidR="00D07CDC">
              <w:t xml:space="preserve">til-og fra Hirtshals </w:t>
            </w:r>
            <w:r w:rsidR="005539A3">
              <w:t>H</w:t>
            </w:r>
            <w:r w:rsidR="00D07CDC">
              <w:t>avn</w:t>
            </w:r>
          </w:p>
          <w:p w14:paraId="6C216663" w14:textId="3BDE0A59" w:rsidR="00212E4E" w:rsidRPr="00F85834" w:rsidRDefault="00C22315" w:rsidP="00324E78">
            <w:pPr>
              <w:pStyle w:val="Listeafsnit"/>
              <w:numPr>
                <w:ilvl w:val="0"/>
                <w:numId w:val="15"/>
              </w:numPr>
            </w:pPr>
            <w:r>
              <w:t xml:space="preserve">Teknologiudvikling vedrørende </w:t>
            </w:r>
            <w:r w:rsidR="008F75D0">
              <w:t>kulstoffangst</w:t>
            </w:r>
            <w:r w:rsidR="00C23A06">
              <w:t xml:space="preserve">, </w:t>
            </w:r>
            <w:r w:rsidR="004428F4">
              <w:t>VE-elproduktion,</w:t>
            </w:r>
            <w:r w:rsidR="00581C6B">
              <w:t xml:space="preserve"> </w:t>
            </w:r>
            <w:r w:rsidR="006C602C">
              <w:t>skibsmotorer</w:t>
            </w:r>
            <w:r w:rsidR="00B95245">
              <w:t>, PtX</w:t>
            </w:r>
            <w:r w:rsidR="00C14621">
              <w:t xml:space="preserve"> anlæg</w:t>
            </w:r>
          </w:p>
          <w:p w14:paraId="5055530E" w14:textId="373ABADA" w:rsidR="00927DD7" w:rsidRPr="00F85834" w:rsidRDefault="005F62B0" w:rsidP="00324E78">
            <w:pPr>
              <w:pStyle w:val="Listeafsnit"/>
              <w:numPr>
                <w:ilvl w:val="0"/>
                <w:numId w:val="15"/>
              </w:numPr>
            </w:pPr>
            <w:r>
              <w:t>VE</w:t>
            </w:r>
            <w:r w:rsidR="005539A3">
              <w:t>-</w:t>
            </w:r>
            <w:r>
              <w:t>udbygning på land og offshore</w:t>
            </w:r>
            <w:r w:rsidR="00BC4CBB">
              <w:t xml:space="preserve"> i Danmark</w:t>
            </w:r>
          </w:p>
          <w:p w14:paraId="7572CD28" w14:textId="722607CA" w:rsidR="00603C14" w:rsidRPr="00F85834" w:rsidRDefault="00BB0EA4" w:rsidP="00324E78">
            <w:pPr>
              <w:pStyle w:val="Listeafsnit"/>
              <w:numPr>
                <w:ilvl w:val="0"/>
                <w:numId w:val="15"/>
              </w:numPr>
            </w:pPr>
            <w:r>
              <w:t>Skibsfartens efterspørgsel efter VE</w:t>
            </w:r>
            <w:r w:rsidR="005539A3">
              <w:t>-</w:t>
            </w:r>
            <w:r>
              <w:t>brændstoffer</w:t>
            </w:r>
            <w:r w:rsidR="005539A3">
              <w:t>.</w:t>
            </w:r>
          </w:p>
          <w:p w14:paraId="6A9EF2A9" w14:textId="77777777" w:rsidR="00C03E20" w:rsidRDefault="00C03E20" w:rsidP="00C03E20"/>
          <w:p w14:paraId="757138B4" w14:textId="435AC45A" w:rsidR="00C03E20" w:rsidRPr="00F85834" w:rsidRDefault="00C03E20" w:rsidP="00C03E20">
            <w:r>
              <w:t xml:space="preserve">Publikationen </w:t>
            </w:r>
            <w:r w:rsidR="00B67461">
              <w:t xml:space="preserve">distribueres og drøftes ved et </w:t>
            </w:r>
            <w:r w:rsidR="00BA0B86">
              <w:t xml:space="preserve">bredt indkaldt seminar </w:t>
            </w:r>
            <w:r w:rsidR="00693B73">
              <w:t xml:space="preserve">i </w:t>
            </w:r>
            <w:r w:rsidR="00D173B5">
              <w:t>januar 2023</w:t>
            </w:r>
            <w:r w:rsidR="005539A3">
              <w:t>.</w:t>
            </w:r>
          </w:p>
          <w:p w14:paraId="0E2F009C" w14:textId="77777777" w:rsidR="000B19FC" w:rsidRDefault="000B19FC" w:rsidP="00C03E20"/>
          <w:p w14:paraId="2A34AEA6" w14:textId="0FB55CC7" w:rsidR="000B19FC" w:rsidRPr="00F85834" w:rsidRDefault="000B19FC" w:rsidP="00C03E20">
            <w:r>
              <w:t xml:space="preserve">På baggrund heraf udarbejdes et egentligt roadmap for </w:t>
            </w:r>
            <w:r w:rsidR="000A5688">
              <w:t>e</w:t>
            </w:r>
            <w:r w:rsidR="002A4D09">
              <w:t>nergi</w:t>
            </w:r>
            <w:r w:rsidR="002E49E7">
              <w:t>udviklingen omkring Hirtshals</w:t>
            </w:r>
            <w:r w:rsidR="00553C1B">
              <w:t xml:space="preserve">, hvor </w:t>
            </w:r>
            <w:r w:rsidR="00CF1571">
              <w:t>mulige og nødvendige beslutningsvinduer aftegnes, og analyseres ved SW</w:t>
            </w:r>
            <w:r w:rsidR="00655207">
              <w:t>OT metodol</w:t>
            </w:r>
            <w:r w:rsidR="003616BD">
              <w:t>ogi.</w:t>
            </w:r>
          </w:p>
          <w:p w14:paraId="5AF3E5D6" w14:textId="77777777" w:rsidR="00CE42FC" w:rsidRDefault="00CE42FC" w:rsidP="00C03E20"/>
          <w:p w14:paraId="0168BA1E" w14:textId="418B5ADD" w:rsidR="00CE42FC" w:rsidRDefault="00CE42FC" w:rsidP="00CE42FC">
            <w:r>
              <w:t xml:space="preserve">Ved udarbejdelse af </w:t>
            </w:r>
            <w:r w:rsidR="005C2357">
              <w:t>r</w:t>
            </w:r>
            <w:r>
              <w:t>oadmap</w:t>
            </w:r>
            <w:r w:rsidR="00773EED">
              <w:t>pet</w:t>
            </w:r>
            <w:r>
              <w:t xml:space="preserve"> inddrages </w:t>
            </w:r>
            <w:r w:rsidR="00AA31CF">
              <w:t>Green</w:t>
            </w:r>
            <w:r w:rsidR="00773EED">
              <w:t xml:space="preserve"> H</w:t>
            </w:r>
            <w:r w:rsidR="00AA31CF">
              <w:t>ub D</w:t>
            </w:r>
            <w:r w:rsidR="00773EED">
              <w:t>e</w:t>
            </w:r>
            <w:r w:rsidR="00AA31CF">
              <w:t>nmark</w:t>
            </w:r>
            <w:r w:rsidR="008D306E">
              <w:t>, alle parter i delprojekter</w:t>
            </w:r>
            <w:r w:rsidR="001079C4">
              <w:t>ne</w:t>
            </w:r>
            <w:r w:rsidR="00C80C33">
              <w:t>, kommunale og regionale beslutningstagere</w:t>
            </w:r>
            <w:r w:rsidR="00C44C81">
              <w:t xml:space="preserve"> samt</w:t>
            </w:r>
            <w:r w:rsidR="00C80C33">
              <w:t xml:space="preserve"> regionale interesse- og erhvervsorganisationer.</w:t>
            </w:r>
          </w:p>
          <w:p w14:paraId="23BED781" w14:textId="77777777" w:rsidR="005C2357" w:rsidRDefault="005C2357" w:rsidP="00CE42FC"/>
          <w:p w14:paraId="576D6F2A" w14:textId="2FB41A1E" w:rsidR="00D3467C" w:rsidRPr="00D3467C" w:rsidRDefault="00D3467C" w:rsidP="005547AB">
            <w:pPr>
              <w:spacing w:after="160" w:line="259" w:lineRule="auto"/>
            </w:pPr>
          </w:p>
        </w:tc>
      </w:tr>
      <w:tr w:rsidR="001642AF" w:rsidRPr="005547AB" w14:paraId="3B7EA108" w14:textId="77777777" w:rsidTr="00C7373B">
        <w:trPr>
          <w:cnfStyle w:val="000000100000" w:firstRow="0" w:lastRow="0" w:firstColumn="0" w:lastColumn="0" w:oddVBand="0" w:evenVBand="0" w:oddHBand="1" w:evenHBand="0" w:firstRowFirstColumn="0" w:firstRowLastColumn="0" w:lastRowFirstColumn="0" w:lastRowLastColumn="0"/>
          <w:trHeight w:val="834"/>
        </w:trPr>
        <w:tc>
          <w:tcPr>
            <w:tcW w:w="1700" w:type="dxa"/>
            <w:hideMark/>
          </w:tcPr>
          <w:p w14:paraId="0D337CC9" w14:textId="77777777" w:rsidR="005547AB" w:rsidRPr="00C44FB2" w:rsidRDefault="005547AB" w:rsidP="005547AB">
            <w:pPr>
              <w:spacing w:after="160" w:line="259" w:lineRule="auto"/>
            </w:pPr>
            <w:r w:rsidRPr="00C44FB2">
              <w:lastRenderedPageBreak/>
              <w:t>Partnere</w:t>
            </w:r>
          </w:p>
        </w:tc>
        <w:tc>
          <w:tcPr>
            <w:tcW w:w="7836" w:type="dxa"/>
            <w:hideMark/>
          </w:tcPr>
          <w:p w14:paraId="53989C25" w14:textId="5D1DFF5D" w:rsidR="00DD2B7C" w:rsidRDefault="00003D7D" w:rsidP="005547AB">
            <w:pPr>
              <w:spacing w:after="160" w:line="259" w:lineRule="auto"/>
            </w:pPr>
            <w:r>
              <w:t>Økonomiske partnere:</w:t>
            </w:r>
          </w:p>
          <w:p w14:paraId="34B1018E" w14:textId="77777777" w:rsidR="00C340B3" w:rsidRDefault="00C340B3" w:rsidP="00C340B3">
            <w:pPr>
              <w:pStyle w:val="Listeafsnit"/>
              <w:numPr>
                <w:ilvl w:val="0"/>
                <w:numId w:val="4"/>
              </w:numPr>
            </w:pPr>
            <w:r>
              <w:t>Greenport North - udviklingsselskab, sitepartner</w:t>
            </w:r>
          </w:p>
          <w:p w14:paraId="543468BF" w14:textId="57196218" w:rsidR="001A2392" w:rsidRDefault="001A2392" w:rsidP="00C340B3">
            <w:pPr>
              <w:pStyle w:val="Listeafsnit"/>
              <w:numPr>
                <w:ilvl w:val="0"/>
                <w:numId w:val="4"/>
              </w:numPr>
            </w:pPr>
            <w:proofErr w:type="spellStart"/>
            <w:r>
              <w:t>GrønGas</w:t>
            </w:r>
            <w:proofErr w:type="spellEnd"/>
            <w:r>
              <w:t xml:space="preserve"> Hjørring</w:t>
            </w:r>
            <w:r w:rsidR="00AD04D6">
              <w:t xml:space="preserve"> - </w:t>
            </w:r>
            <w:r w:rsidR="00E45C67">
              <w:t>site</w:t>
            </w:r>
            <w:r w:rsidR="00305C35">
              <w:t>partner</w:t>
            </w:r>
            <w:r w:rsidR="00D754CE">
              <w:t>, biogas</w:t>
            </w:r>
            <w:r w:rsidR="0035093B">
              <w:t xml:space="preserve"> til LBG</w:t>
            </w:r>
          </w:p>
          <w:p w14:paraId="181819C5" w14:textId="42C7F341" w:rsidR="0089145C" w:rsidRDefault="0089145C" w:rsidP="0089145C">
            <w:pPr>
              <w:pStyle w:val="Listeafsnit"/>
              <w:numPr>
                <w:ilvl w:val="0"/>
                <w:numId w:val="4"/>
              </w:numPr>
            </w:pPr>
            <w:r w:rsidRPr="00EA6E5B">
              <w:t>AVV</w:t>
            </w:r>
            <w:r>
              <w:t xml:space="preserve"> - affaldsforbrændingsanlæg, anlægsvært og CO</w:t>
            </w:r>
            <w:r w:rsidRPr="0035093B">
              <w:rPr>
                <w:vertAlign w:val="subscript"/>
              </w:rPr>
              <w:t>2</w:t>
            </w:r>
            <w:r>
              <w:t>-leverandør</w:t>
            </w:r>
          </w:p>
          <w:p w14:paraId="6FA163C5" w14:textId="77777777" w:rsidR="0089145C" w:rsidRDefault="0089145C" w:rsidP="0089145C">
            <w:pPr>
              <w:pStyle w:val="Listeafsnit"/>
              <w:numPr>
                <w:ilvl w:val="0"/>
                <w:numId w:val="4"/>
              </w:numPr>
            </w:pPr>
            <w:r w:rsidRPr="00EA6E5B">
              <w:t>Aalborg Universitet</w:t>
            </w:r>
            <w:r>
              <w:t>, AAU Energi - universitet, fagspecialist på CCS</w:t>
            </w:r>
          </w:p>
          <w:p w14:paraId="2F1ED509" w14:textId="1E171EF7" w:rsidR="005356AE" w:rsidRDefault="00F64277" w:rsidP="008F7B85">
            <w:pPr>
              <w:pStyle w:val="Listeafsnit"/>
              <w:numPr>
                <w:ilvl w:val="0"/>
                <w:numId w:val="4"/>
              </w:numPr>
            </w:pPr>
            <w:r w:rsidRPr="00F64277">
              <w:t>MARLOG</w:t>
            </w:r>
            <w:r w:rsidR="004016F4">
              <w:t xml:space="preserve"> - </w:t>
            </w:r>
            <w:r w:rsidRPr="00F64277">
              <w:t xml:space="preserve">klyngeorganisation for </w:t>
            </w:r>
            <w:r w:rsidR="00807841">
              <w:t xml:space="preserve">innovation i </w:t>
            </w:r>
            <w:r w:rsidRPr="00F64277">
              <w:t xml:space="preserve">det maritime erhverv </w:t>
            </w:r>
            <w:r w:rsidR="00793C6E">
              <w:t>og</w:t>
            </w:r>
            <w:r w:rsidRPr="00F64277">
              <w:t xml:space="preserve"> logistik</w:t>
            </w:r>
            <w:r w:rsidR="00D754CE">
              <w:t>, innovationsplatform</w:t>
            </w:r>
          </w:p>
          <w:p w14:paraId="780BB2EF" w14:textId="2E076F6B" w:rsidR="00003D7D" w:rsidRDefault="00003D7D" w:rsidP="00003D7D"/>
          <w:p w14:paraId="6E4A28D2" w14:textId="55FFCC42" w:rsidR="00003D7D" w:rsidRDefault="00003D7D" w:rsidP="00003D7D">
            <w:r>
              <w:t>Øvrige projektdeltagere:</w:t>
            </w:r>
            <w:r w:rsidR="007C272E">
              <w:br/>
            </w:r>
          </w:p>
          <w:p w14:paraId="7BE7908D" w14:textId="77777777" w:rsidR="00C44FB2" w:rsidRDefault="00C44FB2" w:rsidP="00C44FB2">
            <w:pPr>
              <w:pStyle w:val="Listeafsnit"/>
              <w:numPr>
                <w:ilvl w:val="0"/>
                <w:numId w:val="4"/>
              </w:numPr>
            </w:pPr>
            <w:r>
              <w:t>Hjørring Kommune - myndighed, ejer af Hirtshals Havn, medejer af AVV</w:t>
            </w:r>
          </w:p>
          <w:p w14:paraId="56E59CB8" w14:textId="14C044DF" w:rsidR="00EA6E5B" w:rsidRPr="00EA6E5B" w:rsidRDefault="00EA6E5B" w:rsidP="008F7B85">
            <w:pPr>
              <w:pStyle w:val="Listeafsnit"/>
              <w:numPr>
                <w:ilvl w:val="0"/>
                <w:numId w:val="4"/>
              </w:numPr>
            </w:pPr>
            <w:r w:rsidRPr="00EA6E5B">
              <w:t>Hirtshals Havn</w:t>
            </w:r>
            <w:r>
              <w:t xml:space="preserve"> - </w:t>
            </w:r>
            <w:r w:rsidR="0080651D">
              <w:t>kommunalt ejet selvstyrehavn</w:t>
            </w:r>
            <w:r w:rsidR="00AB050E">
              <w:t xml:space="preserve">, </w:t>
            </w:r>
            <w:r>
              <w:t xml:space="preserve">anlægsvært </w:t>
            </w:r>
            <w:r w:rsidR="00AB050E">
              <w:t xml:space="preserve">for </w:t>
            </w:r>
            <w:r w:rsidR="0080651D">
              <w:t>elektrolyse</w:t>
            </w:r>
            <w:r w:rsidR="00B3685F">
              <w:t>anlæg</w:t>
            </w:r>
            <w:r w:rsidR="0080651D">
              <w:t xml:space="preserve"> og metanol</w:t>
            </w:r>
            <w:r w:rsidR="00B3685F">
              <w:t>synteseanlæg</w:t>
            </w:r>
          </w:p>
          <w:p w14:paraId="4159E015" w14:textId="20F5523D" w:rsidR="00656464" w:rsidRDefault="00656464" w:rsidP="008F7B85">
            <w:pPr>
              <w:pStyle w:val="Listeafsnit"/>
              <w:numPr>
                <w:ilvl w:val="0"/>
                <w:numId w:val="4"/>
              </w:numPr>
            </w:pPr>
            <w:r>
              <w:t xml:space="preserve">Hirtshals Service Group - </w:t>
            </w:r>
            <w:proofErr w:type="spellStart"/>
            <w:r w:rsidR="00123FA0">
              <w:t>one</w:t>
            </w:r>
            <w:proofErr w:type="spellEnd"/>
            <w:r w:rsidR="00123FA0">
              <w:t xml:space="preserve">-stop netværk, der </w:t>
            </w:r>
            <w:r>
              <w:t xml:space="preserve">leverer serviceydelser til </w:t>
            </w:r>
            <w:r w:rsidR="00123FA0">
              <w:t xml:space="preserve">kunder og </w:t>
            </w:r>
            <w:r>
              <w:t xml:space="preserve">brugere </w:t>
            </w:r>
            <w:r w:rsidR="00123FA0">
              <w:t>af Hirtshals Havn</w:t>
            </w:r>
          </w:p>
          <w:p w14:paraId="053BC9D5" w14:textId="2FAAAA74" w:rsidR="00EE6043" w:rsidRDefault="00EE6043" w:rsidP="008F7B85">
            <w:pPr>
              <w:pStyle w:val="Listeafsnit"/>
              <w:numPr>
                <w:ilvl w:val="0"/>
                <w:numId w:val="4"/>
              </w:numPr>
            </w:pPr>
            <w:r>
              <w:t>Nord</w:t>
            </w:r>
            <w:r w:rsidR="00846F94">
              <w:t xml:space="preserve"> Energi</w:t>
            </w:r>
            <w:r>
              <w:t xml:space="preserve"> - </w:t>
            </w:r>
            <w:proofErr w:type="spellStart"/>
            <w:r>
              <w:t>eldistribu</w:t>
            </w:r>
            <w:r w:rsidR="00901FAF">
              <w:t>t</w:t>
            </w:r>
            <w:r>
              <w:t>ionsselskab</w:t>
            </w:r>
            <w:proofErr w:type="spellEnd"/>
            <w:r w:rsidR="00535554">
              <w:t xml:space="preserve">, </w:t>
            </w:r>
            <w:r w:rsidR="00C92236">
              <w:t>elforsyning</w:t>
            </w:r>
            <w:r w:rsidR="00C340B3">
              <w:t>/</w:t>
            </w:r>
            <w:proofErr w:type="spellStart"/>
            <w:r w:rsidR="00C340B3">
              <w:t>netselskab</w:t>
            </w:r>
            <w:proofErr w:type="spellEnd"/>
            <w:r w:rsidR="00C92236">
              <w:t xml:space="preserve"> til elektrolyse</w:t>
            </w:r>
            <w:r w:rsidR="00FB178B">
              <w:t>-</w:t>
            </w:r>
            <w:r w:rsidR="00C92236">
              <w:t xml:space="preserve"> og </w:t>
            </w:r>
            <w:r w:rsidR="00FB178B">
              <w:t>synteseanlæg</w:t>
            </w:r>
          </w:p>
          <w:p w14:paraId="5DFBC979" w14:textId="2BA73538" w:rsidR="00C340B3" w:rsidRDefault="00C340B3" w:rsidP="00C340B3">
            <w:pPr>
              <w:pStyle w:val="Listeafsnit"/>
              <w:numPr>
                <w:ilvl w:val="0"/>
                <w:numId w:val="4"/>
              </w:numPr>
            </w:pPr>
            <w:proofErr w:type="spellStart"/>
            <w:r>
              <w:t>Evida</w:t>
            </w:r>
            <w:proofErr w:type="spellEnd"/>
            <w:r>
              <w:t xml:space="preserve"> </w:t>
            </w:r>
            <w:r w:rsidR="005E2C29">
              <w:t>-</w:t>
            </w:r>
            <w:r>
              <w:t xml:space="preserve"> statslig</w:t>
            </w:r>
            <w:r w:rsidR="00C94BF4">
              <w:t>t</w:t>
            </w:r>
            <w:r>
              <w:t xml:space="preserve"> selskab som leverer infrastrukturen frem til og internt på </w:t>
            </w:r>
            <w:r w:rsidR="005E2C29">
              <w:t>h</w:t>
            </w:r>
            <w:r>
              <w:t>avnen</w:t>
            </w:r>
          </w:p>
          <w:p w14:paraId="0B46F055" w14:textId="7BFAC7C9" w:rsidR="00993683" w:rsidRPr="00DD2B7C" w:rsidRDefault="00993683" w:rsidP="005547AB">
            <w:pPr>
              <w:spacing w:after="160" w:line="259" w:lineRule="auto"/>
              <w:rPr>
                <w:i/>
                <w:iCs/>
              </w:rPr>
            </w:pPr>
          </w:p>
        </w:tc>
      </w:tr>
      <w:tr w:rsidR="001642AF" w:rsidRPr="005547AB" w14:paraId="32DC7E2E" w14:textId="77777777" w:rsidTr="00C7373B">
        <w:trPr>
          <w:trHeight w:val="3020"/>
        </w:trPr>
        <w:tc>
          <w:tcPr>
            <w:tcW w:w="1700" w:type="dxa"/>
            <w:hideMark/>
          </w:tcPr>
          <w:p w14:paraId="03F47392" w14:textId="591D495E" w:rsidR="005547AB" w:rsidRPr="00C44FB2" w:rsidRDefault="005547AB" w:rsidP="005547AB">
            <w:pPr>
              <w:spacing w:after="160" w:line="259" w:lineRule="auto"/>
            </w:pPr>
            <w:r w:rsidRPr="00C44FB2">
              <w:lastRenderedPageBreak/>
              <w:t>Forventet udviklingsniveau per 30.</w:t>
            </w:r>
            <w:r w:rsidR="00C44FB2" w:rsidRPr="00C44FB2">
              <w:t xml:space="preserve"> juni </w:t>
            </w:r>
            <w:r w:rsidRPr="00C44FB2">
              <w:t>2023</w:t>
            </w:r>
          </w:p>
        </w:tc>
        <w:tc>
          <w:tcPr>
            <w:tcW w:w="7836" w:type="dxa"/>
            <w:hideMark/>
          </w:tcPr>
          <w:p w14:paraId="4D1F42A7" w14:textId="6CAA3474" w:rsidR="00F9686D" w:rsidRDefault="00F9686D" w:rsidP="005547AB">
            <w:pPr>
              <w:spacing w:after="160" w:line="259" w:lineRule="auto"/>
            </w:pPr>
            <w:r w:rsidRPr="00F9686D">
              <w:t>Delprojekterne er beskrevet ovenfor</w:t>
            </w:r>
            <w:r>
              <w:t xml:space="preserve">. Herunder beskrives forholdene </w:t>
            </w:r>
            <w:r w:rsidR="00C33ECB">
              <w:t xml:space="preserve">og den ventede proces </w:t>
            </w:r>
            <w:r>
              <w:t xml:space="preserve">for projektets primære fysiske leverance, der foregår i delprojekt I. og </w:t>
            </w:r>
            <w:r w:rsidR="00C33ECB">
              <w:t xml:space="preserve">handler om </w:t>
            </w:r>
            <w:r w:rsidR="009803E7">
              <w:t>e</w:t>
            </w:r>
            <w:r w:rsidRPr="00F9686D">
              <w:t>ksperimentel udvikling</w:t>
            </w:r>
            <w:r w:rsidR="009803E7">
              <w:t xml:space="preserve"> af produktion af </w:t>
            </w:r>
            <w:r w:rsidRPr="00F9686D">
              <w:t>LBG og CO</w:t>
            </w:r>
            <w:r w:rsidRPr="009803E7">
              <w:rPr>
                <w:vertAlign w:val="subscript"/>
              </w:rPr>
              <w:t>2</w:t>
            </w:r>
            <w:r w:rsidRPr="00F9686D">
              <w:t>-fangst</w:t>
            </w:r>
            <w:r w:rsidR="00C33ECB">
              <w:t>:</w:t>
            </w:r>
          </w:p>
          <w:p w14:paraId="1D3FEAD3" w14:textId="008A1A4A" w:rsidR="00EA6BCB" w:rsidRPr="009803E7" w:rsidRDefault="005547AB" w:rsidP="005547AB">
            <w:pPr>
              <w:spacing w:after="160" w:line="259" w:lineRule="auto"/>
              <w:rPr>
                <w:b/>
                <w:bCs/>
                <w:i/>
                <w:iCs/>
              </w:rPr>
            </w:pPr>
            <w:r w:rsidRPr="009803E7">
              <w:rPr>
                <w:b/>
                <w:bCs/>
                <w:i/>
                <w:iCs/>
              </w:rPr>
              <w:t>1. Beskrivelse af ønsket leverance</w:t>
            </w:r>
          </w:p>
          <w:p w14:paraId="6D14202C" w14:textId="45A487F3" w:rsidR="00C33ECB" w:rsidRDefault="00C33ECB" w:rsidP="00C33ECB">
            <w:pPr>
              <w:spacing w:after="160" w:line="259" w:lineRule="auto"/>
            </w:pPr>
            <w:r>
              <w:t xml:space="preserve">I sommeren 2023 er der etableret, idriftsat, testet og overdraget produktionsanlæg til opgradering og </w:t>
            </w:r>
            <w:proofErr w:type="spellStart"/>
            <w:r>
              <w:t>liquefaction</w:t>
            </w:r>
            <w:proofErr w:type="spellEnd"/>
            <w:r>
              <w:t xml:space="preserve"> af biogas samt fangst, rensning og </w:t>
            </w:r>
            <w:proofErr w:type="spellStart"/>
            <w:r>
              <w:t>flydendegørelse</w:t>
            </w:r>
            <w:proofErr w:type="spellEnd"/>
            <w:r>
              <w:t xml:space="preserve"> af CO</w:t>
            </w:r>
            <w:r w:rsidRPr="009803E7">
              <w:rPr>
                <w:vertAlign w:val="subscript"/>
              </w:rPr>
              <w:t>2</w:t>
            </w:r>
            <w:r>
              <w:t xml:space="preserve"> til videresalg. Projektet kan danne grundlaget for tilsvarende udvikling de øvrige biogasanlæg i regionen</w:t>
            </w:r>
            <w:r w:rsidR="000B0F02">
              <w:t>, der nu er kraftvarmeproducerende.</w:t>
            </w:r>
            <w:r>
              <w:t xml:space="preserve"> </w:t>
            </w:r>
          </w:p>
          <w:p w14:paraId="54025C57" w14:textId="13D76BF9" w:rsidR="005547AB" w:rsidRPr="009803E7" w:rsidRDefault="005547AB" w:rsidP="005547AB">
            <w:pPr>
              <w:spacing w:after="160" w:line="259" w:lineRule="auto"/>
              <w:rPr>
                <w:b/>
                <w:bCs/>
                <w:i/>
                <w:iCs/>
              </w:rPr>
            </w:pPr>
            <w:r w:rsidRPr="009803E7">
              <w:rPr>
                <w:b/>
                <w:bCs/>
                <w:i/>
                <w:iCs/>
              </w:rPr>
              <w:t>2. Projektering af leverance</w:t>
            </w:r>
          </w:p>
          <w:p w14:paraId="3309CF4B" w14:textId="427DC012" w:rsidR="008045B6" w:rsidRPr="005547AB" w:rsidRDefault="009803E7" w:rsidP="005547AB">
            <w:pPr>
              <w:spacing w:after="160" w:line="259" w:lineRule="auto"/>
            </w:pPr>
            <w:r>
              <w:t>Anlægget ventes f</w:t>
            </w:r>
            <w:r w:rsidR="008045B6">
              <w:t xml:space="preserve">ærdigprojekteret </w:t>
            </w:r>
            <w:r>
              <w:t xml:space="preserve">i </w:t>
            </w:r>
            <w:r w:rsidR="008045B6">
              <w:t xml:space="preserve">Q1 </w:t>
            </w:r>
            <w:r>
              <w:t>20</w:t>
            </w:r>
            <w:r w:rsidR="008045B6">
              <w:t>22</w:t>
            </w:r>
            <w:r>
              <w:t xml:space="preserve">, så hurtigt som muligt efter evt. tilsagn er opnået. </w:t>
            </w:r>
            <w:r w:rsidR="008045B6">
              <w:t>I start</w:t>
            </w:r>
            <w:r>
              <w:t xml:space="preserve">en </w:t>
            </w:r>
            <w:r w:rsidR="008045B6">
              <w:t xml:space="preserve">af 2023 </w:t>
            </w:r>
            <w:r>
              <w:t xml:space="preserve">ventes det, at </w:t>
            </w:r>
            <w:r w:rsidR="008045B6">
              <w:t xml:space="preserve">der </w:t>
            </w:r>
            <w:r>
              <w:t xml:space="preserve">kan </w:t>
            </w:r>
            <w:r w:rsidR="008045B6">
              <w:t xml:space="preserve">leveres </w:t>
            </w:r>
            <w:r>
              <w:t xml:space="preserve">flydende </w:t>
            </w:r>
            <w:r w:rsidR="008045B6">
              <w:t xml:space="preserve">metan og </w:t>
            </w:r>
            <w:r>
              <w:t xml:space="preserve">flydende </w:t>
            </w:r>
            <w:r w:rsidR="008045B6">
              <w:t>CO</w:t>
            </w:r>
            <w:r w:rsidR="008045B6" w:rsidRPr="009803E7">
              <w:rPr>
                <w:vertAlign w:val="subscript"/>
              </w:rPr>
              <w:t>2</w:t>
            </w:r>
            <w:r>
              <w:t>.</w:t>
            </w:r>
          </w:p>
          <w:p w14:paraId="0FCF2023" w14:textId="22EB4A5D" w:rsidR="00EA6BCB" w:rsidRPr="009803E7" w:rsidRDefault="005547AB" w:rsidP="005547AB">
            <w:pPr>
              <w:spacing w:after="160" w:line="259" w:lineRule="auto"/>
              <w:rPr>
                <w:b/>
                <w:bCs/>
                <w:i/>
                <w:iCs/>
              </w:rPr>
            </w:pPr>
            <w:r w:rsidRPr="009803E7">
              <w:rPr>
                <w:b/>
                <w:bCs/>
                <w:i/>
                <w:iCs/>
              </w:rPr>
              <w:t>3. Udbud af leverance</w:t>
            </w:r>
          </w:p>
          <w:p w14:paraId="5A3FDDA0" w14:textId="30C23A5F" w:rsidR="0023539A" w:rsidRDefault="009803E7" w:rsidP="005547AB">
            <w:pPr>
              <w:spacing w:after="160" w:line="259" w:lineRule="auto"/>
            </w:pPr>
            <w:r>
              <w:t xml:space="preserve">Men henblik på at kunne etablere anlægget indenfor projektets korte forløb, </w:t>
            </w:r>
            <w:r w:rsidR="006A4C1E">
              <w:t>er</w:t>
            </w:r>
            <w:r w:rsidR="0023539A">
              <w:t xml:space="preserve"> </w:t>
            </w:r>
            <w:r w:rsidR="006A4C1E">
              <w:t>m</w:t>
            </w:r>
            <w:r w:rsidR="0023539A">
              <w:t>arkedsafsøgning</w:t>
            </w:r>
            <w:r w:rsidR="006A4C1E">
              <w:t xml:space="preserve">en </w:t>
            </w:r>
            <w:r w:rsidR="0023539A">
              <w:t xml:space="preserve">igangsat og igangværende </w:t>
            </w:r>
            <w:r w:rsidR="005B41DF">
              <w:t xml:space="preserve">på </w:t>
            </w:r>
            <w:r w:rsidR="006A4C1E">
              <w:t>tidspunktet</w:t>
            </w:r>
            <w:r w:rsidR="005B41DF">
              <w:t xml:space="preserve"> for nærværende ansøgning.</w:t>
            </w:r>
          </w:p>
          <w:p w14:paraId="799D4733" w14:textId="24A25057" w:rsidR="005547AB" w:rsidRPr="006A4C1E" w:rsidRDefault="005547AB" w:rsidP="005547AB">
            <w:pPr>
              <w:spacing w:after="160" w:line="259" w:lineRule="auto"/>
              <w:rPr>
                <w:b/>
                <w:bCs/>
                <w:i/>
                <w:iCs/>
              </w:rPr>
            </w:pPr>
            <w:r w:rsidRPr="006A4C1E">
              <w:rPr>
                <w:b/>
                <w:bCs/>
                <w:i/>
                <w:iCs/>
              </w:rPr>
              <w:t>4. Kontraktindgåelse</w:t>
            </w:r>
          </w:p>
          <w:p w14:paraId="5DE1DD43" w14:textId="191CBC6D" w:rsidR="008045B6" w:rsidRPr="005547AB" w:rsidRDefault="008045B6" w:rsidP="005547AB">
            <w:pPr>
              <w:spacing w:after="160" w:line="259" w:lineRule="auto"/>
            </w:pPr>
            <w:r>
              <w:t>Hovedkontrakt</w:t>
            </w:r>
            <w:r w:rsidR="005B41DF">
              <w:t>en ventes at kunne indgås inden udgangen af 2021, mens t</w:t>
            </w:r>
            <w:r>
              <w:t>ilkøb</w:t>
            </w:r>
            <w:r w:rsidR="005B41DF">
              <w:t>et</w:t>
            </w:r>
            <w:r>
              <w:t xml:space="preserve"> af </w:t>
            </w:r>
            <w:proofErr w:type="spellStart"/>
            <w:r>
              <w:t>liqu</w:t>
            </w:r>
            <w:r w:rsidR="00C33ECB">
              <w:t>e</w:t>
            </w:r>
            <w:r>
              <w:t>fier</w:t>
            </w:r>
            <w:proofErr w:type="spellEnd"/>
            <w:r w:rsidR="005B41DF">
              <w:t xml:space="preserve">, der er projektets hovedkomponent ventes at kunne foregå i </w:t>
            </w:r>
            <w:r w:rsidR="0023539A">
              <w:t xml:space="preserve">Q1 </w:t>
            </w:r>
            <w:r w:rsidR="005B41DF">
              <w:t xml:space="preserve">2022 </w:t>
            </w:r>
            <w:r w:rsidR="0023539A">
              <w:t xml:space="preserve">efter </w:t>
            </w:r>
            <w:r w:rsidR="005B41DF">
              <w:t xml:space="preserve">evt. </w:t>
            </w:r>
            <w:r w:rsidR="0023539A">
              <w:t>tilsagn</w:t>
            </w:r>
            <w:r w:rsidR="005B41DF">
              <w:t xml:space="preserve"> om støtte.</w:t>
            </w:r>
          </w:p>
          <w:p w14:paraId="7C533746" w14:textId="012E16AC" w:rsidR="00EA6BCB" w:rsidRPr="005B41DF" w:rsidRDefault="005547AB" w:rsidP="005547AB">
            <w:pPr>
              <w:spacing w:after="160" w:line="259" w:lineRule="auto"/>
              <w:rPr>
                <w:b/>
                <w:bCs/>
                <w:i/>
                <w:iCs/>
              </w:rPr>
            </w:pPr>
            <w:r w:rsidRPr="005B41DF">
              <w:rPr>
                <w:b/>
                <w:bCs/>
                <w:i/>
                <w:iCs/>
              </w:rPr>
              <w:t>5. Opsætning</w:t>
            </w:r>
          </w:p>
          <w:p w14:paraId="60287111" w14:textId="7039B317" w:rsidR="0023539A" w:rsidRDefault="005B41DF" w:rsidP="005547AB">
            <w:pPr>
              <w:spacing w:after="160" w:line="259" w:lineRule="auto"/>
            </w:pPr>
            <w:r>
              <w:t xml:space="preserve">Leverancen ventes fremstillet og testet på fabrik fra Q1-Q3 2022, hvorefter det ventes installeret i Hjørring i løbet af </w:t>
            </w:r>
            <w:r w:rsidR="0023539A">
              <w:t>Q3</w:t>
            </w:r>
            <w:r>
              <w:t xml:space="preserve"> og </w:t>
            </w:r>
            <w:r w:rsidR="0023539A">
              <w:t>Q4 2022</w:t>
            </w:r>
            <w:r>
              <w:t>.</w:t>
            </w:r>
          </w:p>
          <w:p w14:paraId="21C16850" w14:textId="5EAEDD4A" w:rsidR="005547AB" w:rsidRPr="005B41DF" w:rsidRDefault="005547AB" w:rsidP="005547AB">
            <w:pPr>
              <w:spacing w:after="160" w:line="259" w:lineRule="auto"/>
              <w:rPr>
                <w:b/>
                <w:bCs/>
                <w:i/>
                <w:iCs/>
              </w:rPr>
            </w:pPr>
            <w:r w:rsidRPr="005B41DF">
              <w:rPr>
                <w:b/>
                <w:bCs/>
                <w:i/>
                <w:iCs/>
              </w:rPr>
              <w:t>6. Ibrugtagning af udstyr</w:t>
            </w:r>
          </w:p>
          <w:p w14:paraId="0441AE7D" w14:textId="32D89890" w:rsidR="0023539A" w:rsidRPr="005547AB" w:rsidRDefault="005B41DF" w:rsidP="005547AB">
            <w:pPr>
              <w:spacing w:after="160" w:line="259" w:lineRule="auto"/>
            </w:pPr>
            <w:r>
              <w:t xml:space="preserve">Mod slutningen af </w:t>
            </w:r>
            <w:r w:rsidR="0023539A">
              <w:t>Q4</w:t>
            </w:r>
            <w:r>
              <w:t xml:space="preserve"> 2022</w:t>
            </w:r>
            <w:r w:rsidR="009C0011">
              <w:t xml:space="preserve"> ventes udstyret klar til idriftsættelse, og det forventes</w:t>
            </w:r>
            <w:r w:rsidR="0023539A">
              <w:t xml:space="preserve">, </w:t>
            </w:r>
            <w:r w:rsidR="009C0011">
              <w:t xml:space="preserve">at der i februar 2023 </w:t>
            </w:r>
            <w:r w:rsidR="0023539A">
              <w:t xml:space="preserve">køres formaliserede tests </w:t>
            </w:r>
            <w:r w:rsidR="009C0011">
              <w:t xml:space="preserve">med henblik på overlevering inden udgangen af </w:t>
            </w:r>
            <w:r w:rsidR="0023539A">
              <w:t>Q1 2023</w:t>
            </w:r>
            <w:r w:rsidR="00C95FF1">
              <w:t>.</w:t>
            </w:r>
            <w:r w:rsidR="009C0011">
              <w:t xml:space="preserve"> Herefter går anlægget ind i projektets:</w:t>
            </w:r>
          </w:p>
          <w:p w14:paraId="7B6CC8E9" w14:textId="7E233465" w:rsidR="00EA6BCB" w:rsidRPr="009C0011" w:rsidRDefault="005547AB" w:rsidP="005547AB">
            <w:pPr>
              <w:spacing w:after="160" w:line="259" w:lineRule="auto"/>
              <w:rPr>
                <w:b/>
                <w:bCs/>
                <w:i/>
                <w:iCs/>
              </w:rPr>
            </w:pPr>
            <w:r w:rsidRPr="009C0011">
              <w:rPr>
                <w:b/>
                <w:bCs/>
                <w:i/>
                <w:iCs/>
              </w:rPr>
              <w:t>7. Test og demonstrationsfase</w:t>
            </w:r>
          </w:p>
          <w:p w14:paraId="279DF1EA" w14:textId="55A2555A" w:rsidR="0023539A" w:rsidRDefault="009C0011" w:rsidP="005547AB">
            <w:pPr>
              <w:spacing w:after="160" w:line="259" w:lineRule="auto"/>
            </w:pPr>
            <w:r>
              <w:t>Fasen løber fra s</w:t>
            </w:r>
            <w:r w:rsidR="0023539A">
              <w:t>lutning</w:t>
            </w:r>
            <w:r>
              <w:t>en</w:t>
            </w:r>
            <w:r w:rsidR="0023539A">
              <w:t xml:space="preserve"> af Q1 2023 og indtil </w:t>
            </w:r>
            <w:r>
              <w:t>projektets af</w:t>
            </w:r>
            <w:r w:rsidR="0023539A">
              <w:t>slut</w:t>
            </w:r>
            <w:r>
              <w:t>ning i</w:t>
            </w:r>
            <w:r w:rsidR="0023539A">
              <w:t xml:space="preserve"> Q2 2023</w:t>
            </w:r>
            <w:r>
              <w:t>.</w:t>
            </w:r>
          </w:p>
          <w:p w14:paraId="13CB9769" w14:textId="485F3C28" w:rsidR="005547AB" w:rsidRPr="009C0011" w:rsidRDefault="005547AB" w:rsidP="005547AB">
            <w:pPr>
              <w:spacing w:after="160" w:line="259" w:lineRule="auto"/>
              <w:rPr>
                <w:b/>
                <w:bCs/>
                <w:i/>
                <w:iCs/>
              </w:rPr>
            </w:pPr>
            <w:r w:rsidRPr="009C0011">
              <w:rPr>
                <w:b/>
                <w:bCs/>
                <w:i/>
                <w:iCs/>
              </w:rPr>
              <w:t>8. Monitorering</w:t>
            </w:r>
          </w:p>
          <w:p w14:paraId="79014BD1" w14:textId="282FB4F5" w:rsidR="00C95FF1" w:rsidRPr="005547AB" w:rsidRDefault="0023539A" w:rsidP="005547AB">
            <w:pPr>
              <w:spacing w:after="160" w:line="259" w:lineRule="auto"/>
            </w:pPr>
            <w:r>
              <w:t>Sideløbende</w:t>
            </w:r>
            <w:r w:rsidR="00C95FF1">
              <w:t xml:space="preserve"> med </w:t>
            </w:r>
            <w:r w:rsidR="009C0011">
              <w:t>t</w:t>
            </w:r>
            <w:r w:rsidR="009C0011" w:rsidRPr="009C0011">
              <w:t>est og demonstrationsfase</w:t>
            </w:r>
            <w:r w:rsidR="009C0011">
              <w:t>n</w:t>
            </w:r>
            <w:r w:rsidR="009C0011" w:rsidRPr="009C0011">
              <w:t xml:space="preserve"> </w:t>
            </w:r>
            <w:r w:rsidR="009C0011">
              <w:t xml:space="preserve">overvåges anlægsdriften, bl.a. via anlæggets </w:t>
            </w:r>
            <w:r w:rsidR="00C95FF1">
              <w:t>fuldskala PLC-anlæg</w:t>
            </w:r>
            <w:r w:rsidR="009C0011">
              <w:t>, hvorfra drifts</w:t>
            </w:r>
            <w:r w:rsidR="00C95FF1">
              <w:t>data</w:t>
            </w:r>
            <w:r w:rsidR="009C0011">
              <w:t xml:space="preserve"> udlæses og analyseres.</w:t>
            </w:r>
          </w:p>
          <w:p w14:paraId="29C11481" w14:textId="71C35EB3" w:rsidR="00EA6BCB" w:rsidRPr="009C0011" w:rsidRDefault="005547AB" w:rsidP="005547AB">
            <w:pPr>
              <w:spacing w:after="160" w:line="259" w:lineRule="auto"/>
              <w:rPr>
                <w:b/>
                <w:bCs/>
                <w:i/>
                <w:iCs/>
              </w:rPr>
            </w:pPr>
            <w:r w:rsidRPr="009C0011">
              <w:rPr>
                <w:b/>
                <w:bCs/>
                <w:i/>
                <w:iCs/>
              </w:rPr>
              <w:t>9. Erfaringsopsamling</w:t>
            </w:r>
          </w:p>
          <w:p w14:paraId="6F14ECA4" w14:textId="0630BFFE" w:rsidR="00C95FF1" w:rsidRDefault="00C95FF1" w:rsidP="005547AB">
            <w:pPr>
              <w:spacing w:after="160" w:line="259" w:lineRule="auto"/>
            </w:pPr>
            <w:r>
              <w:t xml:space="preserve">Der gennemføres i </w:t>
            </w:r>
            <w:r w:rsidR="0096519F">
              <w:t xml:space="preserve">hele </w:t>
            </w:r>
            <w:r>
              <w:t>projektet en formaliseret erfaringsopsamling</w:t>
            </w:r>
            <w:r w:rsidR="0096519F">
              <w:t xml:space="preserve"> vedr. alle projektets dele. Opsamlingen og analysen af erfaringerne</w:t>
            </w:r>
            <w:r>
              <w:t xml:space="preserve"> spill</w:t>
            </w:r>
            <w:r w:rsidR="0096519F">
              <w:t>e</w:t>
            </w:r>
            <w:r>
              <w:t xml:space="preserve">r ind til </w:t>
            </w:r>
            <w:proofErr w:type="spellStart"/>
            <w:r>
              <w:t>roadmappet</w:t>
            </w:r>
            <w:proofErr w:type="spellEnd"/>
            <w:r>
              <w:t xml:space="preserve">. </w:t>
            </w:r>
          </w:p>
          <w:p w14:paraId="4CA9E4D5" w14:textId="68DE2BC9" w:rsidR="00C95FF1" w:rsidRDefault="0096519F" w:rsidP="005547AB">
            <w:pPr>
              <w:spacing w:after="160" w:line="259" w:lineRule="auto"/>
            </w:pPr>
            <w:r>
              <w:lastRenderedPageBreak/>
              <w:t>Delprojekt I. om flydende biogas og CO</w:t>
            </w:r>
            <w:r w:rsidRPr="0096519F">
              <w:rPr>
                <w:vertAlign w:val="subscript"/>
              </w:rPr>
              <w:t>2</w:t>
            </w:r>
            <w:r>
              <w:t xml:space="preserve"> har fire naturlige milepæle, som erfaringsopsamlingen hægtes på: </w:t>
            </w:r>
          </w:p>
          <w:p w14:paraId="04A6D2C4" w14:textId="4FF8B261" w:rsidR="00C95FF1" w:rsidRDefault="0096519F" w:rsidP="00C44FB2">
            <w:pPr>
              <w:pStyle w:val="Listeafsnit"/>
              <w:numPr>
                <w:ilvl w:val="0"/>
                <w:numId w:val="16"/>
              </w:numPr>
            </w:pPr>
            <w:r>
              <w:t>Erfaringsopsamling ifm. d</w:t>
            </w:r>
            <w:r w:rsidR="00C95FF1">
              <w:t>imensionering og kontraktforhandling (</w:t>
            </w:r>
            <w:r>
              <w:t>kan foregå men</w:t>
            </w:r>
            <w:r w:rsidR="00C95FF1">
              <w:t xml:space="preserve">s </w:t>
            </w:r>
            <w:r>
              <w:t xml:space="preserve">udstyret er i </w:t>
            </w:r>
            <w:r w:rsidR="00C95FF1">
              <w:t>produktion)</w:t>
            </w:r>
          </w:p>
          <w:p w14:paraId="58A4B37B" w14:textId="00807A04" w:rsidR="00C95FF1" w:rsidRDefault="0096519F" w:rsidP="00C95FF1">
            <w:pPr>
              <w:pStyle w:val="Listeafsnit"/>
              <w:numPr>
                <w:ilvl w:val="0"/>
                <w:numId w:val="16"/>
              </w:numPr>
            </w:pPr>
            <w:r>
              <w:t xml:space="preserve">Erfaringsopsamling </w:t>
            </w:r>
            <w:r w:rsidR="00C95FF1">
              <w:t>ifm. opstilling</w:t>
            </w:r>
            <w:r w:rsidR="00C44FB2">
              <w:t xml:space="preserve"> af anlæg i Hjørring</w:t>
            </w:r>
          </w:p>
          <w:p w14:paraId="05EEC3CE" w14:textId="2C532CBD" w:rsidR="00C95FF1" w:rsidRDefault="00C44FB2" w:rsidP="00C95FF1">
            <w:pPr>
              <w:pStyle w:val="Listeafsnit"/>
              <w:numPr>
                <w:ilvl w:val="0"/>
                <w:numId w:val="16"/>
              </w:numPr>
            </w:pPr>
            <w:r>
              <w:t xml:space="preserve">Erfaringsopsamling </w:t>
            </w:r>
            <w:r w:rsidR="00C95FF1">
              <w:t>ifm. idriftsættelse</w:t>
            </w:r>
          </w:p>
          <w:p w14:paraId="20FA7B13" w14:textId="2AF93B52" w:rsidR="00C95FF1" w:rsidRDefault="00C44FB2" w:rsidP="00C95FF1">
            <w:pPr>
              <w:pStyle w:val="Listeafsnit"/>
              <w:numPr>
                <w:ilvl w:val="0"/>
                <w:numId w:val="16"/>
              </w:numPr>
            </w:pPr>
            <w:r>
              <w:t xml:space="preserve">Erfaringsopsamling vedr. overgang til </w:t>
            </w:r>
            <w:r w:rsidR="00C95FF1">
              <w:t>normal drift.</w:t>
            </w:r>
          </w:p>
          <w:p w14:paraId="64FDC9D9" w14:textId="77777777" w:rsidR="00C95FF1" w:rsidRDefault="00C95FF1" w:rsidP="00C95FF1">
            <w:pPr>
              <w:pStyle w:val="Listeafsnit"/>
            </w:pPr>
          </w:p>
          <w:p w14:paraId="1FAD68A4" w14:textId="10C733E9" w:rsidR="005547AB" w:rsidRPr="00C44FB2" w:rsidRDefault="005547AB" w:rsidP="005547AB">
            <w:pPr>
              <w:spacing w:after="160" w:line="259" w:lineRule="auto"/>
              <w:rPr>
                <w:b/>
                <w:bCs/>
                <w:i/>
                <w:iCs/>
              </w:rPr>
            </w:pPr>
            <w:r w:rsidRPr="00C44FB2">
              <w:rPr>
                <w:b/>
                <w:bCs/>
                <w:i/>
                <w:iCs/>
              </w:rPr>
              <w:t>10. Normal drift</w:t>
            </w:r>
          </w:p>
          <w:p w14:paraId="451F2D83" w14:textId="4ED40381" w:rsidR="00C95FF1" w:rsidRDefault="00C44FB2" w:rsidP="005547AB">
            <w:pPr>
              <w:spacing w:after="160" w:line="259" w:lineRule="auto"/>
            </w:pPr>
            <w:r>
              <w:t>Det ventes, at anlægget kan overgå til normal drift s</w:t>
            </w:r>
            <w:r w:rsidR="00C95FF1">
              <w:t>idst i juni 2023</w:t>
            </w:r>
            <w:r>
              <w:t xml:space="preserve"> inden afslutningen på projektet</w:t>
            </w:r>
            <w:r w:rsidR="00C95FF1">
              <w:t>.</w:t>
            </w:r>
          </w:p>
          <w:p w14:paraId="047C6287" w14:textId="36741DF1" w:rsidR="004A7470" w:rsidRPr="005547AB" w:rsidRDefault="004A7470" w:rsidP="005547AB">
            <w:pPr>
              <w:spacing w:after="160" w:line="259" w:lineRule="auto"/>
            </w:pPr>
          </w:p>
        </w:tc>
      </w:tr>
      <w:tr w:rsidR="001642AF" w:rsidRPr="005547AB" w14:paraId="700DF30B" w14:textId="77777777" w:rsidTr="00C7373B">
        <w:trPr>
          <w:cnfStyle w:val="000000100000" w:firstRow="0" w:lastRow="0" w:firstColumn="0" w:lastColumn="0" w:oddVBand="0" w:evenVBand="0" w:oddHBand="1" w:evenHBand="0" w:firstRowFirstColumn="0" w:firstRowLastColumn="0" w:lastRowFirstColumn="0" w:lastRowLastColumn="0"/>
          <w:trHeight w:val="507"/>
        </w:trPr>
        <w:tc>
          <w:tcPr>
            <w:tcW w:w="1700" w:type="dxa"/>
            <w:hideMark/>
          </w:tcPr>
          <w:p w14:paraId="4FE179D6" w14:textId="77777777" w:rsidR="005547AB" w:rsidRPr="005547AB" w:rsidRDefault="005547AB" w:rsidP="005547AB">
            <w:pPr>
              <w:spacing w:after="160" w:line="259" w:lineRule="auto"/>
            </w:pPr>
            <w:r w:rsidRPr="005547AB">
              <w:lastRenderedPageBreak/>
              <w:t>Aktiviteter</w:t>
            </w:r>
          </w:p>
        </w:tc>
        <w:tc>
          <w:tcPr>
            <w:tcW w:w="7836" w:type="dxa"/>
            <w:hideMark/>
          </w:tcPr>
          <w:p w14:paraId="769ED832" w14:textId="2F8E7849" w:rsidR="00482BF7" w:rsidRPr="00482BF7" w:rsidRDefault="00123FA0" w:rsidP="005547AB">
            <w:pPr>
              <w:spacing w:after="160" w:line="259" w:lineRule="auto"/>
            </w:pPr>
            <w:r>
              <w:t>Projektets dela</w:t>
            </w:r>
            <w:r w:rsidR="000D3EDF" w:rsidRPr="00540ED1">
              <w:t>ktiviteter er beskrevet ovenfor</w:t>
            </w:r>
            <w:r w:rsidR="00540ED1">
              <w:t>.</w:t>
            </w:r>
          </w:p>
          <w:p w14:paraId="19B92D5C" w14:textId="770F631A" w:rsidR="005547AB" w:rsidRPr="00B96BBE" w:rsidRDefault="005547AB" w:rsidP="005547AB">
            <w:pPr>
              <w:spacing w:after="160" w:line="259" w:lineRule="auto"/>
              <w:rPr>
                <w:i/>
                <w:iCs/>
              </w:rPr>
            </w:pPr>
          </w:p>
        </w:tc>
      </w:tr>
      <w:tr w:rsidR="001642AF" w:rsidRPr="005547AB" w14:paraId="6D18D7D6" w14:textId="77777777" w:rsidTr="00C7373B">
        <w:trPr>
          <w:trHeight w:val="507"/>
        </w:trPr>
        <w:tc>
          <w:tcPr>
            <w:tcW w:w="1700" w:type="dxa"/>
            <w:hideMark/>
          </w:tcPr>
          <w:p w14:paraId="6231D7EB" w14:textId="77777777" w:rsidR="005547AB" w:rsidRPr="005547AB" w:rsidRDefault="005547AB" w:rsidP="005547AB">
            <w:pPr>
              <w:spacing w:after="160" w:line="259" w:lineRule="auto"/>
            </w:pPr>
            <w:r w:rsidRPr="00630971">
              <w:t>Tidsplan</w:t>
            </w:r>
          </w:p>
        </w:tc>
        <w:tc>
          <w:tcPr>
            <w:tcW w:w="7836" w:type="dxa"/>
            <w:hideMark/>
          </w:tcPr>
          <w:p w14:paraId="11A89E91" w14:textId="501DD602" w:rsidR="00540ED1" w:rsidRDefault="00630971" w:rsidP="005547AB">
            <w:pPr>
              <w:spacing w:after="160" w:line="259" w:lineRule="auto"/>
            </w:pPr>
            <w:r>
              <w:t xml:space="preserve">Forløbet af projektets delaktiviteter beskrives i nedenstående </w:t>
            </w:r>
            <w:proofErr w:type="spellStart"/>
            <w:r>
              <w:t>G</w:t>
            </w:r>
            <w:r w:rsidR="00801CE7">
              <w:t>antt</w:t>
            </w:r>
            <w:proofErr w:type="spellEnd"/>
            <w:r>
              <w:t>-diagram</w:t>
            </w:r>
            <w:r w:rsidR="00801CE7">
              <w:t>.</w:t>
            </w:r>
          </w:p>
          <w:p w14:paraId="2D353401" w14:textId="4AD629CC" w:rsidR="005547AB" w:rsidRPr="00630971" w:rsidRDefault="00630971" w:rsidP="005547AB">
            <w:pPr>
              <w:spacing w:after="160" w:line="259" w:lineRule="auto"/>
            </w:pPr>
            <w:r w:rsidRPr="00630971">
              <w:rPr>
                <w:noProof/>
              </w:rPr>
              <w:drawing>
                <wp:inline distT="0" distB="0" distL="0" distR="0" wp14:anchorId="5608AEFB" wp14:editId="04DCE6AD">
                  <wp:extent cx="4797469" cy="5081782"/>
                  <wp:effectExtent l="0" t="0" r="3175"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618" cy="5102066"/>
                          </a:xfrm>
                          <a:prstGeom prst="rect">
                            <a:avLst/>
                          </a:prstGeom>
                          <a:noFill/>
                          <a:ln>
                            <a:noFill/>
                          </a:ln>
                        </pic:spPr>
                      </pic:pic>
                    </a:graphicData>
                  </a:graphic>
                </wp:inline>
              </w:drawing>
            </w:r>
          </w:p>
        </w:tc>
      </w:tr>
      <w:tr w:rsidR="001642AF" w:rsidRPr="005547AB" w14:paraId="50A17F1B" w14:textId="77777777" w:rsidTr="00C7373B">
        <w:trPr>
          <w:cnfStyle w:val="000000100000" w:firstRow="0" w:lastRow="0" w:firstColumn="0" w:lastColumn="0" w:oddVBand="0" w:evenVBand="0" w:oddHBand="1" w:evenHBand="0" w:firstRowFirstColumn="0" w:firstRowLastColumn="0" w:lastRowFirstColumn="0" w:lastRowLastColumn="0"/>
          <w:trHeight w:val="770"/>
        </w:trPr>
        <w:tc>
          <w:tcPr>
            <w:tcW w:w="1700" w:type="dxa"/>
            <w:hideMark/>
          </w:tcPr>
          <w:p w14:paraId="6D1D25E6" w14:textId="77777777" w:rsidR="005547AB" w:rsidRPr="005547AB" w:rsidRDefault="005547AB" w:rsidP="005547AB">
            <w:pPr>
              <w:spacing w:after="160" w:line="259" w:lineRule="auto"/>
            </w:pPr>
            <w:r w:rsidRPr="00B442E1">
              <w:lastRenderedPageBreak/>
              <w:t>Effekt</w:t>
            </w:r>
          </w:p>
        </w:tc>
        <w:tc>
          <w:tcPr>
            <w:tcW w:w="7836" w:type="dxa"/>
            <w:hideMark/>
          </w:tcPr>
          <w:p w14:paraId="33C308C7" w14:textId="31AB71E6" w:rsidR="00C44FB2" w:rsidRDefault="00C44FB2" w:rsidP="005547AB">
            <w:pPr>
              <w:spacing w:after="160" w:line="259" w:lineRule="auto"/>
            </w:pPr>
            <w:r>
              <w:t xml:space="preserve">Projektet involverer direkte </w:t>
            </w:r>
            <w:r w:rsidR="009D6D58">
              <w:t>ti</w:t>
            </w:r>
            <w:r>
              <w:t xml:space="preserve"> </w:t>
            </w:r>
            <w:r w:rsidR="00101051">
              <w:t xml:space="preserve">deltagende organisationer, hvoraf </w:t>
            </w:r>
            <w:r w:rsidR="009D6D58">
              <w:t>de fem</w:t>
            </w:r>
            <w:r w:rsidR="00101051">
              <w:t xml:space="preserve"> er økonomiske partnere. Dertil giver projektet anledning til aktivitet hos underleverandører i form anlægsleverandører samt konsulenter og projekterende</w:t>
            </w:r>
            <w:r w:rsidR="00F2575E">
              <w:t xml:space="preserve"> samt hos øvrige interessenter</w:t>
            </w:r>
            <w:r w:rsidR="00101051">
              <w:t>.</w:t>
            </w:r>
          </w:p>
          <w:p w14:paraId="68F86473" w14:textId="763D6FC9" w:rsidR="00C44FB2" w:rsidRDefault="00101051" w:rsidP="005547AB">
            <w:pPr>
              <w:spacing w:after="160" w:line="259" w:lineRule="auto"/>
            </w:pPr>
            <w:r>
              <w:t xml:space="preserve">Projektaktiviteterne vil give anledning til </w:t>
            </w:r>
            <w:r w:rsidR="00F2575E">
              <w:t xml:space="preserve">enkelte </w:t>
            </w:r>
            <w:r>
              <w:t>nye arbejdspladser</w:t>
            </w:r>
            <w:r w:rsidR="004A4984">
              <w:t xml:space="preserve"> i de medvirkende organisationer</w:t>
            </w:r>
            <w:r>
              <w:t>, men</w:t>
            </w:r>
            <w:r w:rsidR="009D6D58">
              <w:t>s</w:t>
            </w:r>
            <w:r>
              <w:t xml:space="preserve"> </w:t>
            </w:r>
            <w:r w:rsidR="004A4984">
              <w:t xml:space="preserve">det især er </w:t>
            </w:r>
            <w:proofErr w:type="spellStart"/>
            <w:r w:rsidR="004A4984">
              <w:t>opskaleringen</w:t>
            </w:r>
            <w:proofErr w:type="spellEnd"/>
            <w:r w:rsidR="004A4984">
              <w:t xml:space="preserve"> i forbindelse med projektets efterfølgende fase, </w:t>
            </w:r>
            <w:r w:rsidR="009D6D58">
              <w:t xml:space="preserve">der </w:t>
            </w:r>
            <w:r w:rsidR="004A4984">
              <w:t xml:space="preserve">kan </w:t>
            </w:r>
            <w:r w:rsidR="009D6D58">
              <w:t xml:space="preserve">ventes at </w:t>
            </w:r>
            <w:r w:rsidR="004A4984">
              <w:t xml:space="preserve">give </w:t>
            </w:r>
            <w:r w:rsidR="009D6D58">
              <w:t xml:space="preserve">volumen </w:t>
            </w:r>
            <w:r w:rsidR="004A4984">
              <w:t>ift. jobskabelse i regionen.</w:t>
            </w:r>
          </w:p>
          <w:p w14:paraId="4E13A7F2" w14:textId="23CAA1D5" w:rsidR="00801CE7" w:rsidRDefault="004A4984" w:rsidP="005547AB">
            <w:pPr>
              <w:spacing w:after="160" w:line="259" w:lineRule="auto"/>
            </w:pPr>
            <w:r>
              <w:t xml:space="preserve">I projektet påbegyndes indfangning af </w:t>
            </w:r>
            <w:r w:rsidR="00C95FF1">
              <w:t>CO</w:t>
            </w:r>
            <w:r w:rsidRPr="004A4984">
              <w:rPr>
                <w:vertAlign w:val="subscript"/>
              </w:rPr>
              <w:t>2</w:t>
            </w:r>
            <w:r>
              <w:rPr>
                <w:vertAlign w:val="subscript"/>
              </w:rPr>
              <w:t xml:space="preserve"> </w:t>
            </w:r>
            <w:r>
              <w:t>svarende</w:t>
            </w:r>
            <w:r w:rsidR="00C95FF1">
              <w:t xml:space="preserve"> </w:t>
            </w:r>
            <w:r>
              <w:t xml:space="preserve">til den nuværende biogasproduktion </w:t>
            </w:r>
            <w:r w:rsidR="00F2575E">
              <w:t xml:space="preserve">hos </w:t>
            </w:r>
            <w:proofErr w:type="spellStart"/>
            <w:r w:rsidR="00F2575E">
              <w:t>GrønGas</w:t>
            </w:r>
            <w:proofErr w:type="spellEnd"/>
            <w:r w:rsidR="00F2575E">
              <w:t xml:space="preserve"> Hjørring </w:t>
            </w:r>
            <w:r>
              <w:t xml:space="preserve">på </w:t>
            </w:r>
            <w:r w:rsidR="00C95FF1">
              <w:t xml:space="preserve">4,5 mio. </w:t>
            </w:r>
            <w:r>
              <w:t>Nm</w:t>
            </w:r>
            <w:r w:rsidRPr="004A4984">
              <w:rPr>
                <w:vertAlign w:val="superscript"/>
              </w:rPr>
              <w:t>3</w:t>
            </w:r>
            <w:r w:rsidR="00C95FF1">
              <w:t xml:space="preserve"> metan. </w:t>
            </w:r>
            <w:r w:rsidR="00835144">
              <w:t xml:space="preserve">Da projektet frigør biogasanlægget fra kapacitetsbegrænsninger i det nuværende kraftvarmeanlæg, </w:t>
            </w:r>
            <w:r w:rsidR="00C82BC9">
              <w:t>kan biogasproduktionen øges til biogasanlæggets kapacitet på omkring 7,2 mio. Nm</w:t>
            </w:r>
            <w:r w:rsidR="00C82BC9" w:rsidRPr="00C82BC9">
              <w:rPr>
                <w:vertAlign w:val="superscript"/>
              </w:rPr>
              <w:t>3</w:t>
            </w:r>
            <w:r w:rsidR="00C82BC9">
              <w:t xml:space="preserve">. </w:t>
            </w:r>
            <w:r w:rsidR="00801CE7">
              <w:t>Hvis al</w:t>
            </w:r>
            <w:r w:rsidR="00C82BC9">
              <w:t xml:space="preserve"> gas sættes i spil og den opsamlede</w:t>
            </w:r>
            <w:r w:rsidR="00801CE7">
              <w:t xml:space="preserve"> </w:t>
            </w:r>
            <w:r>
              <w:t>CO</w:t>
            </w:r>
            <w:r w:rsidRPr="004A4984">
              <w:rPr>
                <w:vertAlign w:val="subscript"/>
              </w:rPr>
              <w:t>2</w:t>
            </w:r>
            <w:r>
              <w:t xml:space="preserve"> </w:t>
            </w:r>
            <w:r w:rsidR="00FF0E56">
              <w:t xml:space="preserve">gøres flydende og </w:t>
            </w:r>
            <w:r w:rsidR="00C82BC9">
              <w:t xml:space="preserve">lagres eller </w:t>
            </w:r>
            <w:r w:rsidR="00FF0E56">
              <w:t xml:space="preserve">anvendes til fremstilling af </w:t>
            </w:r>
            <w:r w:rsidR="00835144">
              <w:t xml:space="preserve">et </w:t>
            </w:r>
            <w:r w:rsidR="00C82BC9">
              <w:t xml:space="preserve">brændstof (gas eller olie) </w:t>
            </w:r>
            <w:r w:rsidR="00FF0E56">
              <w:t xml:space="preserve">under anvendelse af emissionsfri elektricitet, og </w:t>
            </w:r>
            <w:r w:rsidR="00C82BC9">
              <w:t xml:space="preserve">gas og brændslet </w:t>
            </w:r>
            <w:r w:rsidR="00FF0E56">
              <w:t xml:space="preserve">fortrænger </w:t>
            </w:r>
            <w:proofErr w:type="spellStart"/>
            <w:r w:rsidR="00FF0E56">
              <w:t>bunkerfuel</w:t>
            </w:r>
            <w:proofErr w:type="spellEnd"/>
            <w:r w:rsidR="00FF0E56">
              <w:t xml:space="preserve"> i skibsfart</w:t>
            </w:r>
            <w:r w:rsidR="00C82BC9">
              <w:t xml:space="preserve">en i stedet for naturgas </w:t>
            </w:r>
            <w:r w:rsidR="00F2575E">
              <w:t xml:space="preserve">i den nuværende </w:t>
            </w:r>
            <w:r w:rsidR="00C82BC9">
              <w:t>kraftvarmeproduktion</w:t>
            </w:r>
            <w:r w:rsidR="00FF0E56">
              <w:t xml:space="preserve">, vil </w:t>
            </w:r>
            <w:r w:rsidR="00F2575E">
              <w:t>del</w:t>
            </w:r>
            <w:r w:rsidR="00FF0E56">
              <w:t xml:space="preserve">projektet </w:t>
            </w:r>
            <w:r w:rsidR="009B0171">
              <w:t xml:space="preserve">ifølge overslagsberegninger fra Ea Energianalyse </w:t>
            </w:r>
            <w:r w:rsidR="00FF0E56">
              <w:t>give anledning til en reduktion i CO</w:t>
            </w:r>
            <w:r w:rsidR="00FF0E56" w:rsidRPr="00FF0E56">
              <w:rPr>
                <w:vertAlign w:val="subscript"/>
              </w:rPr>
              <w:t>2</w:t>
            </w:r>
            <w:r w:rsidR="00FF0E56">
              <w:t xml:space="preserve">-emissionen på årligt 22.400 ton fra ca. 2024. </w:t>
            </w:r>
          </w:p>
          <w:p w14:paraId="526F7ADE" w14:textId="3001414E" w:rsidR="00C95FF1" w:rsidRDefault="00B442E1" w:rsidP="005547AB">
            <w:pPr>
              <w:spacing w:after="160" w:line="259" w:lineRule="auto"/>
            </w:pPr>
            <w:r>
              <w:t xml:space="preserve">I en levetid på 20 år vil </w:t>
            </w:r>
            <w:r w:rsidR="00F2575E">
              <w:t xml:space="preserve">det konkrete </w:t>
            </w:r>
            <w:r>
              <w:t>anlæg på den måde give anledning til en reduktion på ca. 450.000 ton CO</w:t>
            </w:r>
            <w:r w:rsidRPr="00B442E1">
              <w:rPr>
                <w:vertAlign w:val="subscript"/>
              </w:rPr>
              <w:t>2</w:t>
            </w:r>
            <w:r>
              <w:t>, hvilket med en støtte på 18,75 mio. kr. svarer til en pris på 42 kr./ton CO</w:t>
            </w:r>
            <w:r w:rsidRPr="00B442E1">
              <w:rPr>
                <w:vertAlign w:val="subscript"/>
              </w:rPr>
              <w:t>2</w:t>
            </w:r>
            <w:r>
              <w:t xml:space="preserve">. </w:t>
            </w:r>
          </w:p>
          <w:p w14:paraId="710F2F7B" w14:textId="77777777" w:rsidR="00C82BC9" w:rsidRDefault="00C82BC9" w:rsidP="005547AB">
            <w:pPr>
              <w:spacing w:after="160" w:line="259" w:lineRule="auto"/>
            </w:pPr>
          </w:p>
          <w:p w14:paraId="1243DDD2" w14:textId="5746F652" w:rsidR="0074450F" w:rsidRPr="0074450F" w:rsidRDefault="0074450F" w:rsidP="005547AB">
            <w:pPr>
              <w:spacing w:after="160" w:line="259" w:lineRule="auto"/>
            </w:pPr>
          </w:p>
        </w:tc>
      </w:tr>
      <w:tr w:rsidR="001642AF" w:rsidRPr="005547AB" w14:paraId="413CDF69" w14:textId="77777777" w:rsidTr="00C7373B">
        <w:trPr>
          <w:trHeight w:val="1146"/>
        </w:trPr>
        <w:tc>
          <w:tcPr>
            <w:tcW w:w="1700" w:type="dxa"/>
            <w:hideMark/>
          </w:tcPr>
          <w:p w14:paraId="5E960307" w14:textId="1F411651" w:rsidR="005547AB" w:rsidRPr="005547AB" w:rsidRDefault="005547AB" w:rsidP="005547AB">
            <w:pPr>
              <w:spacing w:after="160" w:line="259" w:lineRule="auto"/>
            </w:pPr>
            <w:r w:rsidRPr="005547AB">
              <w:t xml:space="preserve">Samarbejde med </w:t>
            </w:r>
            <w:r w:rsidR="008C4C47">
              <w:t>v</w:t>
            </w:r>
            <w:r w:rsidRPr="005547AB">
              <w:t>idens</w:t>
            </w:r>
            <w:r w:rsidR="008C4C47">
              <w:t>-</w:t>
            </w:r>
            <w:r w:rsidRPr="005547AB">
              <w:t>institution</w:t>
            </w:r>
            <w:r>
              <w:t>, klyn</w:t>
            </w:r>
            <w:r w:rsidR="006B2ED7">
              <w:t>g</w:t>
            </w:r>
            <w:r>
              <w:t>e og GTS</w:t>
            </w:r>
          </w:p>
        </w:tc>
        <w:tc>
          <w:tcPr>
            <w:tcW w:w="7836" w:type="dxa"/>
            <w:hideMark/>
          </w:tcPr>
          <w:p w14:paraId="56423F40" w14:textId="1626190C" w:rsidR="005547AB" w:rsidRDefault="005547AB" w:rsidP="00485A0B">
            <w:pPr>
              <w:spacing w:line="259" w:lineRule="auto"/>
            </w:pPr>
            <w:r>
              <w:t xml:space="preserve">AAU </w:t>
            </w:r>
            <w:r>
              <w:tab/>
            </w:r>
            <w:r>
              <w:tab/>
              <w:t>Ja</w:t>
            </w:r>
          </w:p>
          <w:p w14:paraId="67C39D31" w14:textId="5658098C" w:rsidR="005547AB" w:rsidRDefault="005547AB" w:rsidP="00485A0B">
            <w:pPr>
              <w:spacing w:line="259" w:lineRule="auto"/>
            </w:pPr>
            <w:r>
              <w:t>UCN</w:t>
            </w:r>
            <w:r>
              <w:tab/>
            </w:r>
            <w:r>
              <w:tab/>
              <w:t>Nej</w:t>
            </w:r>
          </w:p>
          <w:p w14:paraId="4AC4F03C" w14:textId="6C14E92C" w:rsidR="005547AB" w:rsidRDefault="005547AB" w:rsidP="00485A0B">
            <w:pPr>
              <w:spacing w:line="259" w:lineRule="auto"/>
            </w:pPr>
            <w:r>
              <w:t>MARTEC</w:t>
            </w:r>
            <w:r>
              <w:tab/>
            </w:r>
            <w:r>
              <w:tab/>
              <w:t>Nej</w:t>
            </w:r>
          </w:p>
          <w:p w14:paraId="4D299BE2" w14:textId="40A3B1D6" w:rsidR="005547AB" w:rsidRDefault="005547AB" w:rsidP="00485A0B">
            <w:pPr>
              <w:spacing w:line="259" w:lineRule="auto"/>
            </w:pPr>
            <w:r>
              <w:t>ECDK</w:t>
            </w:r>
            <w:r>
              <w:tab/>
            </w:r>
            <w:r>
              <w:tab/>
              <w:t>Nej</w:t>
            </w:r>
          </w:p>
          <w:p w14:paraId="7334A0A2" w14:textId="10D26098" w:rsidR="005547AB" w:rsidRDefault="005547AB" w:rsidP="00485A0B">
            <w:pPr>
              <w:spacing w:line="259" w:lineRule="auto"/>
            </w:pPr>
            <w:r>
              <w:t>MARLOG</w:t>
            </w:r>
            <w:r>
              <w:tab/>
            </w:r>
            <w:r>
              <w:tab/>
              <w:t>Ja</w:t>
            </w:r>
          </w:p>
          <w:p w14:paraId="612F5801" w14:textId="780580AF" w:rsidR="005547AB" w:rsidRDefault="005547AB" w:rsidP="00485A0B">
            <w:pPr>
              <w:spacing w:line="259" w:lineRule="auto"/>
            </w:pPr>
            <w:r>
              <w:t>FORCE TECHNOLOGY</w:t>
            </w:r>
            <w:r>
              <w:tab/>
              <w:t>Nej</w:t>
            </w:r>
          </w:p>
          <w:p w14:paraId="5D1CEBD8" w14:textId="6CC38985" w:rsidR="005547AB" w:rsidRDefault="008012DA" w:rsidP="00485A0B">
            <w:pPr>
              <w:spacing w:line="259" w:lineRule="auto"/>
            </w:pPr>
            <w:r>
              <w:t xml:space="preserve">Teknologisk Institut </w:t>
            </w:r>
            <w:r>
              <w:tab/>
              <w:t>Nej</w:t>
            </w:r>
          </w:p>
          <w:p w14:paraId="3BFF03AD" w14:textId="27DF67B8" w:rsidR="007C272E" w:rsidRPr="005547AB" w:rsidRDefault="00485A0B" w:rsidP="005547AB">
            <w:pPr>
              <w:spacing w:after="160" w:line="259" w:lineRule="auto"/>
            </w:pPr>
            <w:r>
              <w:br/>
            </w:r>
            <w:r w:rsidR="007C272E">
              <w:t>Både AAU og MARLOG er økonomiske partnere i projektet.</w:t>
            </w:r>
          </w:p>
        </w:tc>
      </w:tr>
      <w:tr w:rsidR="001642AF" w:rsidRPr="005547AB" w14:paraId="6D7A44B3" w14:textId="77777777" w:rsidTr="00C7373B">
        <w:trPr>
          <w:cnfStyle w:val="000000100000" w:firstRow="0" w:lastRow="0" w:firstColumn="0" w:lastColumn="0" w:oddVBand="0" w:evenVBand="0" w:oddHBand="1" w:evenHBand="0" w:firstRowFirstColumn="0" w:firstRowLastColumn="0" w:lastRowFirstColumn="0" w:lastRowLastColumn="0"/>
          <w:trHeight w:val="1146"/>
        </w:trPr>
        <w:tc>
          <w:tcPr>
            <w:tcW w:w="1700" w:type="dxa"/>
            <w:hideMark/>
          </w:tcPr>
          <w:p w14:paraId="575397A2" w14:textId="6BCAA108" w:rsidR="005547AB" w:rsidRPr="005547AB" w:rsidRDefault="005547AB" w:rsidP="005547AB">
            <w:pPr>
              <w:spacing w:after="160" w:line="259" w:lineRule="auto"/>
            </w:pPr>
            <w:r w:rsidRPr="005547AB">
              <w:t>Budget</w:t>
            </w:r>
            <w:r w:rsidR="00AE65DF">
              <w:t xml:space="preserve"> </w:t>
            </w:r>
            <w:r w:rsidR="00AE65DF" w:rsidRPr="00843635">
              <w:t>Q</w:t>
            </w:r>
            <w:r w:rsidR="00843635" w:rsidRPr="00843635">
              <w:t>2</w:t>
            </w:r>
            <w:r w:rsidR="00AE65DF">
              <w:t xml:space="preserve"> 2022 – Q2 2023</w:t>
            </w:r>
          </w:p>
        </w:tc>
        <w:tc>
          <w:tcPr>
            <w:tcW w:w="7836" w:type="dxa"/>
            <w:hideMark/>
          </w:tcPr>
          <w:p w14:paraId="214333AE" w14:textId="5429ED1D" w:rsidR="00BD16FF" w:rsidRDefault="004D0AB3" w:rsidP="0097050E">
            <w:pPr>
              <w:spacing w:after="160" w:line="259" w:lineRule="auto"/>
            </w:pPr>
            <w:r>
              <w:t xml:space="preserve">Der </w:t>
            </w:r>
            <w:r w:rsidR="007C272E">
              <w:t>an</w:t>
            </w:r>
            <w:r>
              <w:t xml:space="preserve">søges </w:t>
            </w:r>
            <w:r w:rsidR="00A849C2">
              <w:t xml:space="preserve">i projektet </w:t>
            </w:r>
            <w:r>
              <w:t>om i alt 24</w:t>
            </w:r>
            <w:r w:rsidR="00ED578A">
              <w:t>,</w:t>
            </w:r>
            <w:r w:rsidR="00656464">
              <w:t>4</w:t>
            </w:r>
            <w:r w:rsidR="00285CF4">
              <w:t>5</w:t>
            </w:r>
            <w:r w:rsidR="00ED578A">
              <w:t xml:space="preserve"> mio. kroner</w:t>
            </w:r>
            <w:r w:rsidR="00A849C2">
              <w:t xml:space="preserve"> ud af et samlet budget på </w:t>
            </w:r>
            <w:r w:rsidR="00267D3F">
              <w:t>8</w:t>
            </w:r>
            <w:r w:rsidR="00285CF4">
              <w:t>1</w:t>
            </w:r>
            <w:r w:rsidR="00267D3F">
              <w:t>,9 mio. kroner</w:t>
            </w:r>
            <w:r w:rsidR="00BD16FF">
              <w:t>.</w:t>
            </w:r>
            <w:r w:rsidR="00ED578A">
              <w:t xml:space="preserve"> </w:t>
            </w:r>
          </w:p>
          <w:p w14:paraId="43B9687B" w14:textId="33819221" w:rsidR="0097050E" w:rsidRDefault="00C849D1" w:rsidP="0097050E">
            <w:pPr>
              <w:spacing w:after="160" w:line="259" w:lineRule="auto"/>
            </w:pPr>
            <w:r>
              <w:t>Budgett</w:t>
            </w:r>
            <w:r w:rsidR="002D7FE0">
              <w:t xml:space="preserve">abellen </w:t>
            </w:r>
            <w:r>
              <w:t xml:space="preserve">i bilag </w:t>
            </w:r>
            <w:r w:rsidR="00CA1088">
              <w:t xml:space="preserve">viser </w:t>
            </w:r>
            <w:r>
              <w:t xml:space="preserve">de økonomiske partnere i projektet samt </w:t>
            </w:r>
            <w:r w:rsidR="00381552">
              <w:t xml:space="preserve">den budgetterede </w:t>
            </w:r>
            <w:r w:rsidR="00CA1088">
              <w:t xml:space="preserve">fordeling på </w:t>
            </w:r>
            <w:r w:rsidR="003B1160">
              <w:t>k</w:t>
            </w:r>
            <w:r w:rsidR="002724FE">
              <w:t>onto 210</w:t>
            </w:r>
            <w:r w:rsidR="0097050E" w:rsidRPr="0097050E">
              <w:t xml:space="preserve"> </w:t>
            </w:r>
            <w:r w:rsidR="0097050E">
              <w:t>(</w:t>
            </w:r>
            <w:r w:rsidR="003B1160">
              <w:t>l</w:t>
            </w:r>
            <w:r w:rsidR="0097050E" w:rsidRPr="0097050E">
              <w:t>øn til medarbejdere</w:t>
            </w:r>
            <w:r w:rsidR="0097050E">
              <w:t>)</w:t>
            </w:r>
            <w:r w:rsidR="00381552">
              <w:t xml:space="preserve">, </w:t>
            </w:r>
            <w:r w:rsidR="003B1160">
              <w:t>k</w:t>
            </w:r>
            <w:r w:rsidR="002724FE">
              <w:t>onto 220</w:t>
            </w:r>
            <w:r w:rsidR="0097050E">
              <w:t xml:space="preserve"> (</w:t>
            </w:r>
            <w:r w:rsidR="003B1160">
              <w:t>e</w:t>
            </w:r>
            <w:r w:rsidR="0097050E" w:rsidRPr="0097050E">
              <w:t>kstern</w:t>
            </w:r>
            <w:r w:rsidR="0006048C">
              <w:t>e</w:t>
            </w:r>
            <w:r w:rsidR="0097050E" w:rsidRPr="0097050E">
              <w:t xml:space="preserve"> konsulent</w:t>
            </w:r>
            <w:r w:rsidR="0006048C">
              <w:t>er</w:t>
            </w:r>
            <w:r w:rsidR="0097050E">
              <w:t>)</w:t>
            </w:r>
            <w:r w:rsidR="003B10A8">
              <w:t xml:space="preserve"> og </w:t>
            </w:r>
            <w:r w:rsidR="003B1160">
              <w:t>k</w:t>
            </w:r>
            <w:r w:rsidR="002724FE">
              <w:t>onto 260</w:t>
            </w:r>
            <w:r w:rsidR="0097050E" w:rsidRPr="0097050E">
              <w:t xml:space="preserve"> </w:t>
            </w:r>
            <w:r w:rsidR="0097050E">
              <w:t>(</w:t>
            </w:r>
            <w:r w:rsidR="003B1160">
              <w:t>m</w:t>
            </w:r>
            <w:r w:rsidR="0097050E" w:rsidRPr="0097050E">
              <w:t>askiner &amp; udstyr</w:t>
            </w:r>
            <w:r w:rsidR="0097050E">
              <w:t>)</w:t>
            </w:r>
            <w:r w:rsidR="003B1160">
              <w:t>.</w:t>
            </w:r>
            <w:r w:rsidR="00A33E1B">
              <w:t xml:space="preserve"> </w:t>
            </w:r>
          </w:p>
          <w:p w14:paraId="3CED0F8C" w14:textId="3C4E45E2" w:rsidR="002724FE" w:rsidRPr="005547AB" w:rsidRDefault="002724FE" w:rsidP="0097050E"/>
        </w:tc>
      </w:tr>
      <w:tr w:rsidR="001642AF" w:rsidRPr="00AE65DF" w14:paraId="538E6E05" w14:textId="77777777" w:rsidTr="00C7373B">
        <w:trPr>
          <w:trHeight w:val="577"/>
        </w:trPr>
        <w:tc>
          <w:tcPr>
            <w:tcW w:w="1700" w:type="dxa"/>
            <w:hideMark/>
          </w:tcPr>
          <w:p w14:paraId="462AEFF0" w14:textId="77777777" w:rsidR="00AE65DF" w:rsidRPr="00AE65DF" w:rsidRDefault="00AE65DF" w:rsidP="00AE65DF">
            <w:r w:rsidRPr="00AE65DF">
              <w:t>Efter Q2 - 2023</w:t>
            </w:r>
          </w:p>
        </w:tc>
        <w:tc>
          <w:tcPr>
            <w:tcW w:w="7836" w:type="dxa"/>
            <w:hideMark/>
          </w:tcPr>
          <w:p w14:paraId="75C90F91" w14:textId="6FE0ADFE" w:rsidR="004E7C08" w:rsidRDefault="00776CAE" w:rsidP="00AE65DF">
            <w:r>
              <w:t xml:space="preserve">Projektet tænkes fortsat i en </w:t>
            </w:r>
            <w:r w:rsidR="0006087E">
              <w:t>fas</w:t>
            </w:r>
            <w:r w:rsidR="00F76E9F">
              <w:t>e II</w:t>
            </w:r>
            <w:r>
              <w:t xml:space="preserve">, hvor </w:t>
            </w:r>
            <w:r w:rsidR="00AD1C93">
              <w:t xml:space="preserve">visionen </w:t>
            </w:r>
            <w:r>
              <w:t xml:space="preserve">er at etablere en </w:t>
            </w:r>
            <w:r w:rsidR="00BA7BBF">
              <w:t xml:space="preserve">metanolfabrik på den udvidede Hirtshals Havn. Fabrikken </w:t>
            </w:r>
            <w:r w:rsidR="001C0514">
              <w:t xml:space="preserve">vil </w:t>
            </w:r>
            <w:r w:rsidR="00BA7BBF">
              <w:t>inkludere</w:t>
            </w:r>
            <w:r w:rsidR="001C0514">
              <w:t>:</w:t>
            </w:r>
            <w:r w:rsidR="00BA7BBF">
              <w:t xml:space="preserve"> </w:t>
            </w:r>
          </w:p>
          <w:p w14:paraId="197FD818" w14:textId="77777777" w:rsidR="00C7373B" w:rsidRDefault="00C7373B" w:rsidP="00AE65DF"/>
          <w:p w14:paraId="09876E6C" w14:textId="77777777" w:rsidR="004E7C08" w:rsidRDefault="004E7C08" w:rsidP="004E7C08">
            <w:pPr>
              <w:pStyle w:val="Listeafsnit"/>
              <w:numPr>
                <w:ilvl w:val="0"/>
                <w:numId w:val="5"/>
              </w:numPr>
            </w:pPr>
            <w:r>
              <w:t>E</w:t>
            </w:r>
            <w:r w:rsidR="004814B8">
              <w:t>lektrolyseanlæg til fremstilling af brint og ilt</w:t>
            </w:r>
            <w:r w:rsidR="003E2DD7">
              <w:t xml:space="preserve"> på basis af ny elproduktionskapacitet </w:t>
            </w:r>
            <w:r>
              <w:t>i regionen</w:t>
            </w:r>
          </w:p>
          <w:p w14:paraId="1A171DAB" w14:textId="15B8D544" w:rsidR="00BD45BA" w:rsidRDefault="004E7C08" w:rsidP="004E7C08">
            <w:pPr>
              <w:pStyle w:val="Listeafsnit"/>
              <w:numPr>
                <w:ilvl w:val="0"/>
                <w:numId w:val="5"/>
              </w:numPr>
            </w:pPr>
            <w:r>
              <w:lastRenderedPageBreak/>
              <w:t>A</w:t>
            </w:r>
            <w:r w:rsidR="004814B8">
              <w:t xml:space="preserve">nlæg til at modtage </w:t>
            </w:r>
            <w:r w:rsidR="00460B77">
              <w:t>og oprense kuldioxid fra punktkilder i regionen</w:t>
            </w:r>
            <w:r w:rsidR="00390CB9">
              <w:t>,</w:t>
            </w:r>
            <w:r w:rsidR="00460B77">
              <w:t xml:space="preserve"> </w:t>
            </w:r>
            <w:r w:rsidR="00B3522C">
              <w:t>herunder et netværk af CO</w:t>
            </w:r>
            <w:r w:rsidR="00B3522C" w:rsidRPr="004E7C08">
              <w:rPr>
                <w:vertAlign w:val="subscript"/>
              </w:rPr>
              <w:t>2</w:t>
            </w:r>
            <w:r w:rsidR="00B3522C">
              <w:t xml:space="preserve">-rørledninger </w:t>
            </w:r>
          </w:p>
          <w:p w14:paraId="2B400E8B" w14:textId="4FD080A4" w:rsidR="00096EC1" w:rsidRDefault="00BD45BA" w:rsidP="004E7C08">
            <w:pPr>
              <w:pStyle w:val="Listeafsnit"/>
              <w:numPr>
                <w:ilvl w:val="0"/>
                <w:numId w:val="5"/>
              </w:numPr>
            </w:pPr>
            <w:r>
              <w:t>A</w:t>
            </w:r>
            <w:r w:rsidR="003E2DD7">
              <w:t>nlæg til syntese af brint med kulstof</w:t>
            </w:r>
            <w:r>
              <w:t>, herunder lagring og afskibning</w:t>
            </w:r>
          </w:p>
          <w:p w14:paraId="1E405D3F" w14:textId="20E3054E" w:rsidR="00F94829" w:rsidRDefault="00F94829" w:rsidP="004E7C08">
            <w:pPr>
              <w:pStyle w:val="Listeafsnit"/>
              <w:numPr>
                <w:ilvl w:val="0"/>
                <w:numId w:val="5"/>
              </w:numPr>
            </w:pPr>
            <w:r>
              <w:t xml:space="preserve">Samt diverse </w:t>
            </w:r>
            <w:r w:rsidR="00EC5140">
              <w:t xml:space="preserve">hjælpeanlæg </w:t>
            </w:r>
          </w:p>
          <w:p w14:paraId="26AC3E81" w14:textId="755848FF" w:rsidR="001C0514" w:rsidRDefault="001C0514" w:rsidP="00AE65DF"/>
          <w:p w14:paraId="69F2B572" w14:textId="3D36BC95" w:rsidR="00C7373B" w:rsidRDefault="00C7373B" w:rsidP="00C7373B">
            <w:r>
              <w:t>På baggrund af foreløbige analyser af metanolanlægget i Hirtshals kan følgende nøgletal for anlægget præsenteres:</w:t>
            </w:r>
          </w:p>
          <w:p w14:paraId="5B55B41C" w14:textId="77777777" w:rsidR="00B442E1" w:rsidRDefault="00B442E1" w:rsidP="00C7373B"/>
          <w:tbl>
            <w:tblPr>
              <w:tblStyle w:val="Tabel-Gitter"/>
              <w:tblpPr w:leftFromText="141" w:rightFromText="141" w:vertAnchor="text" w:horzAnchor="margin" w:tblpY="-136"/>
              <w:tblOverlap w:val="never"/>
              <w:tblW w:w="0" w:type="auto"/>
              <w:tblLook w:val="04A0" w:firstRow="1" w:lastRow="0" w:firstColumn="1" w:lastColumn="0" w:noHBand="0" w:noVBand="1"/>
            </w:tblPr>
            <w:tblGrid>
              <w:gridCol w:w="2402"/>
              <w:gridCol w:w="2402"/>
              <w:gridCol w:w="2402"/>
              <w:gridCol w:w="38"/>
            </w:tblGrid>
            <w:tr w:rsidR="00C7373B" w14:paraId="759183AC" w14:textId="77777777" w:rsidTr="00396956">
              <w:tc>
                <w:tcPr>
                  <w:tcW w:w="7244" w:type="dxa"/>
                  <w:gridSpan w:val="4"/>
                </w:tcPr>
                <w:p w14:paraId="55CEB20D" w14:textId="77777777" w:rsidR="00C7373B" w:rsidRPr="00CB200B" w:rsidRDefault="00C7373B" w:rsidP="00C7373B">
                  <w:pPr>
                    <w:jc w:val="center"/>
                    <w:rPr>
                      <w:b/>
                      <w:bCs/>
                    </w:rPr>
                  </w:pPr>
                  <w:r w:rsidRPr="00CB200B">
                    <w:rPr>
                      <w:b/>
                      <w:bCs/>
                    </w:rPr>
                    <w:t>Tekniske nøgletal</w:t>
                  </w:r>
                </w:p>
              </w:tc>
            </w:tr>
            <w:tr w:rsidR="00C7373B" w14:paraId="3303ADBA" w14:textId="77777777" w:rsidTr="00396956">
              <w:trPr>
                <w:gridAfter w:val="1"/>
                <w:wAfter w:w="38" w:type="dxa"/>
              </w:trPr>
              <w:tc>
                <w:tcPr>
                  <w:tcW w:w="2402" w:type="dxa"/>
                </w:tcPr>
                <w:p w14:paraId="6A754D5A" w14:textId="77777777" w:rsidR="00C7373B" w:rsidRPr="00CB200B" w:rsidRDefault="00C7373B" w:rsidP="00C7373B">
                  <w:pPr>
                    <w:rPr>
                      <w:b/>
                      <w:bCs/>
                    </w:rPr>
                  </w:pPr>
                  <w:r w:rsidRPr="00CB200B">
                    <w:rPr>
                      <w:b/>
                      <w:bCs/>
                    </w:rPr>
                    <w:t>Element</w:t>
                  </w:r>
                </w:p>
              </w:tc>
              <w:tc>
                <w:tcPr>
                  <w:tcW w:w="2402" w:type="dxa"/>
                </w:tcPr>
                <w:p w14:paraId="312556E1" w14:textId="77777777" w:rsidR="00C7373B" w:rsidRPr="00CB200B" w:rsidRDefault="00C7373B" w:rsidP="00C7373B">
                  <w:pPr>
                    <w:rPr>
                      <w:b/>
                      <w:bCs/>
                    </w:rPr>
                  </w:pPr>
                  <w:r w:rsidRPr="00CB200B">
                    <w:rPr>
                      <w:b/>
                      <w:bCs/>
                    </w:rPr>
                    <w:t>Værdi</w:t>
                  </w:r>
                </w:p>
              </w:tc>
              <w:tc>
                <w:tcPr>
                  <w:tcW w:w="2402" w:type="dxa"/>
                </w:tcPr>
                <w:p w14:paraId="0082BFC6" w14:textId="77777777" w:rsidR="00C7373B" w:rsidRPr="00CB200B" w:rsidRDefault="00C7373B" w:rsidP="00C7373B">
                  <w:pPr>
                    <w:rPr>
                      <w:b/>
                      <w:bCs/>
                    </w:rPr>
                  </w:pPr>
                  <w:r w:rsidRPr="00CB200B">
                    <w:rPr>
                      <w:b/>
                      <w:bCs/>
                    </w:rPr>
                    <w:t>Enhed</w:t>
                  </w:r>
                </w:p>
              </w:tc>
            </w:tr>
            <w:tr w:rsidR="00C7373B" w14:paraId="046E29F2" w14:textId="77777777" w:rsidTr="00396956">
              <w:trPr>
                <w:gridAfter w:val="1"/>
                <w:wAfter w:w="38" w:type="dxa"/>
              </w:trPr>
              <w:tc>
                <w:tcPr>
                  <w:tcW w:w="2402" w:type="dxa"/>
                </w:tcPr>
                <w:p w14:paraId="2F2C8526" w14:textId="77777777" w:rsidR="00C7373B" w:rsidRDefault="00C7373B" w:rsidP="00C7373B">
                  <w:r>
                    <w:t>Elektrolyse</w:t>
                  </w:r>
                </w:p>
              </w:tc>
              <w:tc>
                <w:tcPr>
                  <w:tcW w:w="2402" w:type="dxa"/>
                </w:tcPr>
                <w:p w14:paraId="59FCDA35" w14:textId="77777777" w:rsidR="00C7373B" w:rsidRDefault="00C7373B" w:rsidP="00C7373B">
                  <w:r>
                    <w:t>30</w:t>
                  </w:r>
                </w:p>
              </w:tc>
              <w:tc>
                <w:tcPr>
                  <w:tcW w:w="2402" w:type="dxa"/>
                </w:tcPr>
                <w:p w14:paraId="544C0BD1" w14:textId="77777777" w:rsidR="00C7373B" w:rsidRDefault="00C7373B" w:rsidP="00C7373B">
                  <w:r>
                    <w:t>MW(e)</w:t>
                  </w:r>
                </w:p>
              </w:tc>
            </w:tr>
            <w:tr w:rsidR="00C7373B" w14:paraId="6310D3A7" w14:textId="77777777" w:rsidTr="00396956">
              <w:trPr>
                <w:gridAfter w:val="1"/>
                <w:wAfter w:w="38" w:type="dxa"/>
              </w:trPr>
              <w:tc>
                <w:tcPr>
                  <w:tcW w:w="2402" w:type="dxa"/>
                </w:tcPr>
                <w:p w14:paraId="114BD44D" w14:textId="77777777" w:rsidR="00C7373B" w:rsidRDefault="00C7373B" w:rsidP="00C7373B">
                  <w:r>
                    <w:t>Metanol output (år)</w:t>
                  </w:r>
                </w:p>
              </w:tc>
              <w:tc>
                <w:tcPr>
                  <w:tcW w:w="2402" w:type="dxa"/>
                </w:tcPr>
                <w:p w14:paraId="251C47F8" w14:textId="77777777" w:rsidR="00C7373B" w:rsidRDefault="00C7373B" w:rsidP="00C7373B">
                  <w:r>
                    <w:t>265</w:t>
                  </w:r>
                </w:p>
              </w:tc>
              <w:tc>
                <w:tcPr>
                  <w:tcW w:w="2402" w:type="dxa"/>
                </w:tcPr>
                <w:p w14:paraId="4901BF33" w14:textId="77777777" w:rsidR="00C7373B" w:rsidRDefault="00C7373B" w:rsidP="00C7373B">
                  <w:r>
                    <w:t>TJ</w:t>
                  </w:r>
                </w:p>
              </w:tc>
            </w:tr>
            <w:tr w:rsidR="00C7373B" w14:paraId="398F29EA" w14:textId="77777777" w:rsidTr="00396956">
              <w:trPr>
                <w:gridAfter w:val="1"/>
                <w:wAfter w:w="38" w:type="dxa"/>
              </w:trPr>
              <w:tc>
                <w:tcPr>
                  <w:tcW w:w="2402" w:type="dxa"/>
                </w:tcPr>
                <w:p w14:paraId="17949C7D" w14:textId="77777777" w:rsidR="00C7373B" w:rsidRDefault="00C7373B" w:rsidP="00C7373B">
                  <w:r>
                    <w:t>Metanol output (år)</w:t>
                  </w:r>
                </w:p>
              </w:tc>
              <w:tc>
                <w:tcPr>
                  <w:tcW w:w="2402" w:type="dxa"/>
                </w:tcPr>
                <w:p w14:paraId="3B4433B0" w14:textId="77777777" w:rsidR="00C7373B" w:rsidRDefault="00C7373B" w:rsidP="00C7373B">
                  <w:r>
                    <w:t>13.000</w:t>
                  </w:r>
                </w:p>
              </w:tc>
              <w:tc>
                <w:tcPr>
                  <w:tcW w:w="2402" w:type="dxa"/>
                </w:tcPr>
                <w:p w14:paraId="427FBD54" w14:textId="77777777" w:rsidR="00C7373B" w:rsidRDefault="00C7373B" w:rsidP="00C7373B">
                  <w:r>
                    <w:t>Tons</w:t>
                  </w:r>
                </w:p>
              </w:tc>
            </w:tr>
            <w:tr w:rsidR="00C7373B" w14:paraId="4B158B8A" w14:textId="77777777" w:rsidTr="00396956">
              <w:trPr>
                <w:gridAfter w:val="1"/>
                <w:wAfter w:w="38" w:type="dxa"/>
              </w:trPr>
              <w:tc>
                <w:tcPr>
                  <w:tcW w:w="2402" w:type="dxa"/>
                </w:tcPr>
                <w:p w14:paraId="4447CD26" w14:textId="77777777" w:rsidR="00C7373B" w:rsidRDefault="00C7373B" w:rsidP="00C7373B">
                  <w:r>
                    <w:t>Varme output (år)</w:t>
                  </w:r>
                </w:p>
              </w:tc>
              <w:tc>
                <w:tcPr>
                  <w:tcW w:w="2402" w:type="dxa"/>
                </w:tcPr>
                <w:p w14:paraId="11960E2A" w14:textId="77777777" w:rsidR="00C7373B" w:rsidRDefault="00C7373B" w:rsidP="00C7373B">
                  <w:r>
                    <w:t>25</w:t>
                  </w:r>
                </w:p>
              </w:tc>
              <w:tc>
                <w:tcPr>
                  <w:tcW w:w="2402" w:type="dxa"/>
                </w:tcPr>
                <w:p w14:paraId="44AA0F30" w14:textId="77777777" w:rsidR="00C7373B" w:rsidRDefault="00C7373B" w:rsidP="00C7373B">
                  <w:proofErr w:type="spellStart"/>
                  <w:r>
                    <w:t>GWh</w:t>
                  </w:r>
                  <w:proofErr w:type="spellEnd"/>
                </w:p>
              </w:tc>
            </w:tr>
            <w:tr w:rsidR="00C7373B" w14:paraId="3C43DFFA" w14:textId="77777777" w:rsidTr="00396956">
              <w:trPr>
                <w:gridAfter w:val="1"/>
                <w:wAfter w:w="38" w:type="dxa"/>
              </w:trPr>
              <w:tc>
                <w:tcPr>
                  <w:tcW w:w="2402" w:type="dxa"/>
                </w:tcPr>
                <w:p w14:paraId="14970494" w14:textId="77777777" w:rsidR="00C7373B" w:rsidRDefault="00C7373B" w:rsidP="00C7373B">
                  <w:r>
                    <w:t>Oxygen output (år)</w:t>
                  </w:r>
                </w:p>
              </w:tc>
              <w:tc>
                <w:tcPr>
                  <w:tcW w:w="2402" w:type="dxa"/>
                </w:tcPr>
                <w:p w14:paraId="00975446" w14:textId="77777777" w:rsidR="00C7373B" w:rsidRDefault="00C7373B" w:rsidP="00C7373B">
                  <w:r>
                    <w:t>20.000</w:t>
                  </w:r>
                </w:p>
              </w:tc>
              <w:tc>
                <w:tcPr>
                  <w:tcW w:w="2402" w:type="dxa"/>
                </w:tcPr>
                <w:p w14:paraId="48889EE0" w14:textId="77777777" w:rsidR="00C7373B" w:rsidRDefault="00C7373B" w:rsidP="00C7373B">
                  <w:r>
                    <w:t>ton</w:t>
                  </w:r>
                </w:p>
              </w:tc>
            </w:tr>
            <w:tr w:rsidR="00C7373B" w14:paraId="19A0E851" w14:textId="77777777" w:rsidTr="00396956">
              <w:trPr>
                <w:gridAfter w:val="1"/>
                <w:wAfter w:w="38" w:type="dxa"/>
                <w:trHeight w:val="311"/>
              </w:trPr>
              <w:tc>
                <w:tcPr>
                  <w:tcW w:w="2402" w:type="dxa"/>
                </w:tcPr>
                <w:p w14:paraId="12F44EA4" w14:textId="77777777" w:rsidR="00C7373B" w:rsidRDefault="00C7373B" w:rsidP="00C7373B">
                  <w:r>
                    <w:t>Antal arbejdspladser</w:t>
                  </w:r>
                </w:p>
              </w:tc>
              <w:tc>
                <w:tcPr>
                  <w:tcW w:w="2402" w:type="dxa"/>
                </w:tcPr>
                <w:p w14:paraId="4179B4BB" w14:textId="77777777" w:rsidR="00C7373B" w:rsidRDefault="00C7373B" w:rsidP="00C7373B">
                  <w:r>
                    <w:t>9</w:t>
                  </w:r>
                </w:p>
              </w:tc>
              <w:tc>
                <w:tcPr>
                  <w:tcW w:w="2402" w:type="dxa"/>
                </w:tcPr>
                <w:p w14:paraId="75174AE3" w14:textId="77777777" w:rsidR="00C7373B" w:rsidRDefault="00C7373B" w:rsidP="00C7373B">
                  <w:r>
                    <w:t>Fuldtidsstillinger</w:t>
                  </w:r>
                </w:p>
              </w:tc>
            </w:tr>
            <w:tr w:rsidR="00C7373B" w14:paraId="117E3FA1" w14:textId="77777777" w:rsidTr="00396956">
              <w:trPr>
                <w:trHeight w:val="311"/>
              </w:trPr>
              <w:tc>
                <w:tcPr>
                  <w:tcW w:w="2402" w:type="dxa"/>
                </w:tcPr>
                <w:p w14:paraId="4CFD3D06" w14:textId="77777777" w:rsidR="00C7373B" w:rsidRDefault="00C7373B" w:rsidP="00C7373B">
                  <w:r w:rsidRPr="00BB5CBB">
                    <w:t>CO</w:t>
                  </w:r>
                  <w:r w:rsidRPr="00BB5CBB">
                    <w:rPr>
                      <w:vertAlign w:val="subscript"/>
                    </w:rPr>
                    <w:t>2</w:t>
                  </w:r>
                  <w:r>
                    <w:t>-behov (år)</w:t>
                  </w:r>
                </w:p>
              </w:tc>
              <w:tc>
                <w:tcPr>
                  <w:tcW w:w="2402" w:type="dxa"/>
                </w:tcPr>
                <w:p w14:paraId="2A1AE19A" w14:textId="77777777" w:rsidR="00C7373B" w:rsidRDefault="00C7373B" w:rsidP="00C7373B">
                  <w:r>
                    <w:t>18.000</w:t>
                  </w:r>
                </w:p>
              </w:tc>
              <w:tc>
                <w:tcPr>
                  <w:tcW w:w="2440" w:type="dxa"/>
                  <w:gridSpan w:val="2"/>
                </w:tcPr>
                <w:p w14:paraId="644DA34A" w14:textId="77777777" w:rsidR="00C7373B" w:rsidRDefault="00C7373B" w:rsidP="00C7373B">
                  <w:r>
                    <w:t>ton</w:t>
                  </w:r>
                </w:p>
              </w:tc>
            </w:tr>
          </w:tbl>
          <w:tbl>
            <w:tblPr>
              <w:tblStyle w:val="Tabel-Gitter"/>
              <w:tblpPr w:leftFromText="141" w:rightFromText="141" w:vertAnchor="text" w:horzAnchor="margin" w:tblpY="236"/>
              <w:tblOverlap w:val="never"/>
              <w:tblW w:w="0" w:type="auto"/>
              <w:tblLook w:val="04A0" w:firstRow="1" w:lastRow="0" w:firstColumn="1" w:lastColumn="0" w:noHBand="0" w:noVBand="1"/>
            </w:tblPr>
            <w:tblGrid>
              <w:gridCol w:w="2017"/>
              <w:gridCol w:w="1215"/>
              <w:gridCol w:w="1178"/>
              <w:gridCol w:w="2854"/>
            </w:tblGrid>
            <w:tr w:rsidR="00C7373B" w14:paraId="423F7AE5" w14:textId="77777777" w:rsidTr="00396956">
              <w:tc>
                <w:tcPr>
                  <w:tcW w:w="7244" w:type="dxa"/>
                  <w:gridSpan w:val="4"/>
                </w:tcPr>
                <w:p w14:paraId="335BACA0" w14:textId="77777777" w:rsidR="00C7373B" w:rsidRDefault="00C7373B" w:rsidP="00C7373B">
                  <w:pPr>
                    <w:jc w:val="center"/>
                  </w:pPr>
                  <w:r w:rsidRPr="00CB200B">
                    <w:rPr>
                      <w:b/>
                      <w:bCs/>
                    </w:rPr>
                    <w:t>Økonomiske nøgletal</w:t>
                  </w:r>
                  <w:r>
                    <w:t xml:space="preserve"> </w:t>
                  </w:r>
                </w:p>
                <w:p w14:paraId="5EFA453F" w14:textId="77777777" w:rsidR="00C7373B" w:rsidRDefault="00C7373B" w:rsidP="00C7373B">
                  <w:pPr>
                    <w:jc w:val="center"/>
                  </w:pPr>
                  <w:r>
                    <w:t xml:space="preserve">Baseret på en samlet investering på ca. 561 mio. kr. </w:t>
                  </w:r>
                  <w:r>
                    <w:br/>
                    <w:t>efter tilskud på 50 mio. kr. og 10-års serie-afskrivning</w:t>
                  </w:r>
                </w:p>
              </w:tc>
            </w:tr>
            <w:tr w:rsidR="00C7373B" w14:paraId="71F93147" w14:textId="77777777" w:rsidTr="00396956">
              <w:tc>
                <w:tcPr>
                  <w:tcW w:w="2017" w:type="dxa"/>
                </w:tcPr>
                <w:p w14:paraId="185A8A72" w14:textId="77777777" w:rsidR="00C7373B" w:rsidRPr="006249E5" w:rsidRDefault="00C7373B" w:rsidP="00C7373B">
                  <w:pPr>
                    <w:rPr>
                      <w:b/>
                      <w:bCs/>
                    </w:rPr>
                  </w:pPr>
                  <w:r w:rsidRPr="006249E5">
                    <w:rPr>
                      <w:b/>
                      <w:bCs/>
                    </w:rPr>
                    <w:t>Element</w:t>
                  </w:r>
                </w:p>
              </w:tc>
              <w:tc>
                <w:tcPr>
                  <w:tcW w:w="1195" w:type="dxa"/>
                </w:tcPr>
                <w:p w14:paraId="647DF66D" w14:textId="77777777" w:rsidR="00C7373B" w:rsidRPr="006249E5" w:rsidRDefault="00C7373B" w:rsidP="00C7373B">
                  <w:pPr>
                    <w:rPr>
                      <w:b/>
                      <w:bCs/>
                    </w:rPr>
                  </w:pPr>
                  <w:r w:rsidRPr="006249E5">
                    <w:rPr>
                      <w:b/>
                      <w:bCs/>
                    </w:rPr>
                    <w:t>Enhedspris</w:t>
                  </w:r>
                </w:p>
              </w:tc>
              <w:tc>
                <w:tcPr>
                  <w:tcW w:w="1178" w:type="dxa"/>
                </w:tcPr>
                <w:p w14:paraId="4F63AA95" w14:textId="77777777" w:rsidR="00C7373B" w:rsidRPr="006249E5" w:rsidRDefault="00C7373B" w:rsidP="00C7373B">
                  <w:pPr>
                    <w:rPr>
                      <w:b/>
                      <w:bCs/>
                    </w:rPr>
                  </w:pPr>
                  <w:r w:rsidRPr="006249E5">
                    <w:rPr>
                      <w:b/>
                      <w:bCs/>
                    </w:rPr>
                    <w:t>Enhed</w:t>
                  </w:r>
                </w:p>
              </w:tc>
              <w:tc>
                <w:tcPr>
                  <w:tcW w:w="2816" w:type="dxa"/>
                </w:tcPr>
                <w:p w14:paraId="3D94010D" w14:textId="77777777" w:rsidR="00C7373B" w:rsidRPr="006249E5" w:rsidRDefault="00C7373B" w:rsidP="00C7373B">
                  <w:pPr>
                    <w:rPr>
                      <w:b/>
                      <w:bCs/>
                    </w:rPr>
                  </w:pPr>
                  <w:r w:rsidRPr="006249E5">
                    <w:rPr>
                      <w:b/>
                      <w:bCs/>
                    </w:rPr>
                    <w:t>Samlet værdi (mio</w:t>
                  </w:r>
                  <w:r>
                    <w:rPr>
                      <w:b/>
                      <w:bCs/>
                    </w:rPr>
                    <w:t>. k</w:t>
                  </w:r>
                  <w:r w:rsidRPr="006249E5">
                    <w:rPr>
                      <w:b/>
                      <w:bCs/>
                    </w:rPr>
                    <w:t>r./år)</w:t>
                  </w:r>
                </w:p>
              </w:tc>
            </w:tr>
            <w:tr w:rsidR="00C7373B" w14:paraId="3E27B4A5" w14:textId="77777777" w:rsidTr="00396956">
              <w:tc>
                <w:tcPr>
                  <w:tcW w:w="2017" w:type="dxa"/>
                </w:tcPr>
                <w:p w14:paraId="7FE45DA9" w14:textId="77777777" w:rsidR="00C7373B" w:rsidRDefault="00C7373B" w:rsidP="00C7373B">
                  <w:r>
                    <w:t>Metanolpris</w:t>
                  </w:r>
                </w:p>
              </w:tc>
              <w:tc>
                <w:tcPr>
                  <w:tcW w:w="1195" w:type="dxa"/>
                </w:tcPr>
                <w:p w14:paraId="76EA19BF" w14:textId="77777777" w:rsidR="00C7373B" w:rsidRDefault="00C7373B" w:rsidP="00C7373B">
                  <w:r>
                    <w:t>366</w:t>
                  </w:r>
                </w:p>
              </w:tc>
              <w:tc>
                <w:tcPr>
                  <w:tcW w:w="1178" w:type="dxa"/>
                </w:tcPr>
                <w:p w14:paraId="0DEAB03F" w14:textId="77777777" w:rsidR="00C7373B" w:rsidRDefault="00C7373B" w:rsidP="00C7373B">
                  <w:r>
                    <w:t>Kr./GJ</w:t>
                  </w:r>
                </w:p>
              </w:tc>
              <w:tc>
                <w:tcPr>
                  <w:tcW w:w="2816" w:type="dxa"/>
                </w:tcPr>
                <w:p w14:paraId="7F781E19" w14:textId="77777777" w:rsidR="00C7373B" w:rsidRDefault="00C7373B" w:rsidP="00C7373B">
                  <w:r>
                    <w:t>96</w:t>
                  </w:r>
                </w:p>
              </w:tc>
            </w:tr>
            <w:tr w:rsidR="00C7373B" w14:paraId="5FF60947" w14:textId="77777777" w:rsidTr="00396956">
              <w:tc>
                <w:tcPr>
                  <w:tcW w:w="2017" w:type="dxa"/>
                </w:tcPr>
                <w:p w14:paraId="1449F8AF" w14:textId="77777777" w:rsidR="00C7373B" w:rsidRDefault="00C7373B" w:rsidP="00C7373B">
                  <w:r>
                    <w:t>Elpris (inkl. tariffer)</w:t>
                  </w:r>
                </w:p>
              </w:tc>
              <w:tc>
                <w:tcPr>
                  <w:tcW w:w="1195" w:type="dxa"/>
                </w:tcPr>
                <w:p w14:paraId="74D603C6" w14:textId="77777777" w:rsidR="00C7373B" w:rsidRDefault="00C7373B" w:rsidP="00C7373B">
                  <w:r>
                    <w:t>200</w:t>
                  </w:r>
                </w:p>
              </w:tc>
              <w:tc>
                <w:tcPr>
                  <w:tcW w:w="1178" w:type="dxa"/>
                </w:tcPr>
                <w:p w14:paraId="515BB798" w14:textId="77777777" w:rsidR="00C7373B" w:rsidRDefault="00C7373B" w:rsidP="00C7373B">
                  <w:r>
                    <w:t>Kr./MWh</w:t>
                  </w:r>
                </w:p>
              </w:tc>
              <w:tc>
                <w:tcPr>
                  <w:tcW w:w="2816" w:type="dxa"/>
                </w:tcPr>
                <w:p w14:paraId="469F1504" w14:textId="77777777" w:rsidR="00C7373B" w:rsidRDefault="00C7373B" w:rsidP="00C7373B">
                  <w:r>
                    <w:t>-27</w:t>
                  </w:r>
                </w:p>
              </w:tc>
            </w:tr>
            <w:tr w:rsidR="00C7373B" w14:paraId="0AE23AFA" w14:textId="77777777" w:rsidTr="00396956">
              <w:tc>
                <w:tcPr>
                  <w:tcW w:w="2017" w:type="dxa"/>
                </w:tcPr>
                <w:p w14:paraId="7CCEC5ED" w14:textId="77777777" w:rsidR="00C7373B" w:rsidRDefault="00C7373B" w:rsidP="00C7373B">
                  <w:r>
                    <w:t>Oxygenpris</w:t>
                  </w:r>
                </w:p>
              </w:tc>
              <w:tc>
                <w:tcPr>
                  <w:tcW w:w="1195" w:type="dxa"/>
                </w:tcPr>
                <w:p w14:paraId="238C0CD6" w14:textId="77777777" w:rsidR="00C7373B" w:rsidRDefault="00C7373B" w:rsidP="00C7373B">
                  <w:r>
                    <w:t>750</w:t>
                  </w:r>
                </w:p>
              </w:tc>
              <w:tc>
                <w:tcPr>
                  <w:tcW w:w="1178" w:type="dxa"/>
                </w:tcPr>
                <w:p w14:paraId="4ED52B68" w14:textId="77777777" w:rsidR="00C7373B" w:rsidRDefault="00C7373B" w:rsidP="00C7373B">
                  <w:r>
                    <w:t>Kr./ton</w:t>
                  </w:r>
                </w:p>
              </w:tc>
              <w:tc>
                <w:tcPr>
                  <w:tcW w:w="2816" w:type="dxa"/>
                </w:tcPr>
                <w:p w14:paraId="62EF216D" w14:textId="77777777" w:rsidR="00C7373B" w:rsidRDefault="00C7373B" w:rsidP="00C7373B">
                  <w:r>
                    <w:t>-15</w:t>
                  </w:r>
                </w:p>
              </w:tc>
            </w:tr>
            <w:tr w:rsidR="00C7373B" w14:paraId="0B000C8C" w14:textId="77777777" w:rsidTr="00396956">
              <w:tc>
                <w:tcPr>
                  <w:tcW w:w="2017" w:type="dxa"/>
                </w:tcPr>
                <w:p w14:paraId="23FD3D46" w14:textId="77777777" w:rsidR="00C7373B" w:rsidRDefault="00C7373B" w:rsidP="00C7373B">
                  <w:r w:rsidRPr="00BB5CBB">
                    <w:t>CO</w:t>
                  </w:r>
                  <w:r w:rsidRPr="00BB5CBB">
                    <w:rPr>
                      <w:vertAlign w:val="subscript"/>
                    </w:rPr>
                    <w:t>2</w:t>
                  </w:r>
                  <w:r>
                    <w:t>-pris</w:t>
                  </w:r>
                </w:p>
              </w:tc>
              <w:tc>
                <w:tcPr>
                  <w:tcW w:w="1195" w:type="dxa"/>
                </w:tcPr>
                <w:p w14:paraId="45245F9A" w14:textId="77777777" w:rsidR="00C7373B" w:rsidRDefault="00C7373B" w:rsidP="00C7373B">
                  <w:r>
                    <w:t>200</w:t>
                  </w:r>
                </w:p>
              </w:tc>
              <w:tc>
                <w:tcPr>
                  <w:tcW w:w="1178" w:type="dxa"/>
                </w:tcPr>
                <w:p w14:paraId="1F746120" w14:textId="77777777" w:rsidR="00C7373B" w:rsidRDefault="00C7373B" w:rsidP="00C7373B">
                  <w:r>
                    <w:t>Kr./ton</w:t>
                  </w:r>
                </w:p>
              </w:tc>
              <w:tc>
                <w:tcPr>
                  <w:tcW w:w="2816" w:type="dxa"/>
                </w:tcPr>
                <w:p w14:paraId="4EBEDBB8" w14:textId="77777777" w:rsidR="00C7373B" w:rsidRDefault="00C7373B" w:rsidP="00C7373B">
                  <w:r>
                    <w:t>-3,6</w:t>
                  </w:r>
                </w:p>
              </w:tc>
            </w:tr>
            <w:tr w:rsidR="00C7373B" w14:paraId="2AFF47F8" w14:textId="77777777" w:rsidTr="00396956">
              <w:tc>
                <w:tcPr>
                  <w:tcW w:w="2017" w:type="dxa"/>
                </w:tcPr>
                <w:p w14:paraId="1BEDFD26" w14:textId="77777777" w:rsidR="00C7373B" w:rsidRDefault="00C7373B" w:rsidP="00C7373B">
                  <w:r>
                    <w:t>Varmepris</w:t>
                  </w:r>
                </w:p>
              </w:tc>
              <w:tc>
                <w:tcPr>
                  <w:tcW w:w="1195" w:type="dxa"/>
                </w:tcPr>
                <w:p w14:paraId="14156DAE" w14:textId="77777777" w:rsidR="00C7373B" w:rsidRDefault="00C7373B" w:rsidP="00C7373B">
                  <w:r>
                    <w:t>40</w:t>
                  </w:r>
                </w:p>
              </w:tc>
              <w:tc>
                <w:tcPr>
                  <w:tcW w:w="1178" w:type="dxa"/>
                </w:tcPr>
                <w:p w14:paraId="151D5BA5" w14:textId="77777777" w:rsidR="00C7373B" w:rsidRDefault="00C7373B" w:rsidP="00C7373B">
                  <w:r>
                    <w:t>Kr./GJ</w:t>
                  </w:r>
                </w:p>
              </w:tc>
              <w:tc>
                <w:tcPr>
                  <w:tcW w:w="2816" w:type="dxa"/>
                </w:tcPr>
                <w:p w14:paraId="22517B98" w14:textId="77777777" w:rsidR="00C7373B" w:rsidRDefault="00C7373B" w:rsidP="00C7373B">
                  <w:r>
                    <w:t>0,5</w:t>
                  </w:r>
                </w:p>
              </w:tc>
            </w:tr>
          </w:tbl>
          <w:p w14:paraId="1E78AF17" w14:textId="77777777" w:rsidR="00C7373B" w:rsidRDefault="00C7373B" w:rsidP="00C7373B"/>
          <w:p w14:paraId="16E1CF76" w14:textId="77777777" w:rsidR="00C7373B" w:rsidRDefault="00C7373B" w:rsidP="00C7373B">
            <w:r>
              <w:t>Det samlede, analyserede system er bygget op efter nedenstående principmodel.</w:t>
            </w:r>
          </w:p>
          <w:p w14:paraId="002D6E72" w14:textId="77777777" w:rsidR="00C7373B" w:rsidRDefault="00C7373B" w:rsidP="00AE65DF"/>
          <w:p w14:paraId="40DBA083" w14:textId="77777777" w:rsidR="00096EC1" w:rsidRDefault="00096EC1" w:rsidP="00AE65DF"/>
          <w:p w14:paraId="784393EA" w14:textId="68FE0308" w:rsidR="00AE65DF" w:rsidRPr="00AE65DF" w:rsidRDefault="00AE65DF" w:rsidP="00AE65DF"/>
        </w:tc>
      </w:tr>
    </w:tbl>
    <w:p w14:paraId="2344AF92" w14:textId="77777777" w:rsidR="00A91A15" w:rsidRDefault="00A91A15">
      <w:pPr>
        <w:sectPr w:rsidR="00A91A15" w:rsidSect="00A91A15">
          <w:pgSz w:w="11906" w:h="16838"/>
          <w:pgMar w:top="1701" w:right="1134" w:bottom="1701" w:left="1134" w:header="709" w:footer="709" w:gutter="0"/>
          <w:cols w:space="708"/>
          <w:docGrid w:linePitch="360"/>
        </w:sectPr>
      </w:pPr>
    </w:p>
    <w:p w14:paraId="52F4FDCC" w14:textId="28EADEB0" w:rsidR="00A91A15" w:rsidRDefault="00137BCB">
      <w:r>
        <w:rPr>
          <w:noProof/>
        </w:rPr>
        <w:lastRenderedPageBreak/>
        <w:drawing>
          <wp:anchor distT="0" distB="0" distL="114300" distR="114300" simplePos="0" relativeHeight="251658240" behindDoc="0" locked="0" layoutInCell="1" allowOverlap="1" wp14:anchorId="259410C9" wp14:editId="556DC7CC">
            <wp:simplePos x="0" y="0"/>
            <wp:positionH relativeFrom="margin">
              <wp:align>center</wp:align>
            </wp:positionH>
            <wp:positionV relativeFrom="paragraph">
              <wp:posOffset>695325</wp:posOffset>
            </wp:positionV>
            <wp:extent cx="10086340" cy="4714875"/>
            <wp:effectExtent l="19050" t="19050" r="16510" b="24765"/>
            <wp:wrapSquare wrapText="bothSides"/>
            <wp:docPr id="7" name="Billede 6">
              <a:extLst xmlns:a="http://schemas.openxmlformats.org/drawingml/2006/main">
                <a:ext uri="{FF2B5EF4-FFF2-40B4-BE49-F238E27FC236}">
                  <a16:creationId xmlns:a16="http://schemas.microsoft.com/office/drawing/2014/main" id="{83D06757-75D7-4C44-9470-80FFC350C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a:extLst>
                        <a:ext uri="{FF2B5EF4-FFF2-40B4-BE49-F238E27FC236}">
                          <a16:creationId xmlns:a16="http://schemas.microsoft.com/office/drawing/2014/main" id="{83D06757-75D7-4C44-9470-80FFC350C0E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6340" cy="4714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A0C417" w14:textId="11D163B5" w:rsidR="001064F8" w:rsidRPr="001064F8" w:rsidRDefault="001064F8" w:rsidP="001064F8"/>
    <w:p w14:paraId="29E8B5DC" w14:textId="71421488" w:rsidR="001064F8" w:rsidRPr="0093563B" w:rsidRDefault="0093563B" w:rsidP="001064F8">
      <w:pPr>
        <w:rPr>
          <w:i/>
          <w:iCs/>
          <w:sz w:val="20"/>
          <w:szCs w:val="20"/>
        </w:rPr>
      </w:pPr>
      <w:r w:rsidRPr="0093563B">
        <w:rPr>
          <w:i/>
          <w:iCs/>
          <w:sz w:val="20"/>
          <w:szCs w:val="20"/>
        </w:rPr>
        <w:t xml:space="preserve">Skematisk fremstilling af elementerne i fremstilling af grøn metanol i Hirtshals. </w:t>
      </w:r>
    </w:p>
    <w:p w14:paraId="49D53B81" w14:textId="1D102E1C" w:rsidR="00690AA4" w:rsidRDefault="00690AA4"/>
    <w:sectPr w:rsidR="00690AA4" w:rsidSect="00BF2B9E">
      <w:pgSz w:w="16838" w:h="11906" w:orient="landscape"/>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425"/>
    <w:multiLevelType w:val="hybridMultilevel"/>
    <w:tmpl w:val="4BB4B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63691F"/>
    <w:multiLevelType w:val="hybridMultilevel"/>
    <w:tmpl w:val="ABB81D32"/>
    <w:lvl w:ilvl="0" w:tplc="BE184BEA">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F23AE2"/>
    <w:multiLevelType w:val="hybridMultilevel"/>
    <w:tmpl w:val="70D8B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4508D7"/>
    <w:multiLevelType w:val="hybridMultilevel"/>
    <w:tmpl w:val="9CD4E0A6"/>
    <w:lvl w:ilvl="0" w:tplc="FFFFFFFF">
      <w:start w:val="1"/>
      <w:numFmt w:val="upperRoman"/>
      <w:lvlText w:val="%1."/>
      <w:lvlJc w:val="righ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 w15:restartNumberingAfterBreak="0">
    <w:nsid w:val="17570CDE"/>
    <w:multiLevelType w:val="hybridMultilevel"/>
    <w:tmpl w:val="9CD4E0A6"/>
    <w:lvl w:ilvl="0" w:tplc="FFFFFFFF">
      <w:start w:val="1"/>
      <w:numFmt w:val="upperRoman"/>
      <w:lvlText w:val="%1."/>
      <w:lvlJc w:val="righ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5" w15:restartNumberingAfterBreak="0">
    <w:nsid w:val="1D9462BA"/>
    <w:multiLevelType w:val="hybridMultilevel"/>
    <w:tmpl w:val="80F8279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6" w15:restartNumberingAfterBreak="0">
    <w:nsid w:val="24382379"/>
    <w:multiLevelType w:val="hybridMultilevel"/>
    <w:tmpl w:val="0E680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0D1829"/>
    <w:multiLevelType w:val="hybridMultilevel"/>
    <w:tmpl w:val="D496FD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424379"/>
    <w:multiLevelType w:val="hybridMultilevel"/>
    <w:tmpl w:val="7CE86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66384D"/>
    <w:multiLevelType w:val="hybridMultilevel"/>
    <w:tmpl w:val="53544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8D4B9F"/>
    <w:multiLevelType w:val="hybridMultilevel"/>
    <w:tmpl w:val="CD0E3A6C"/>
    <w:lvl w:ilvl="0" w:tplc="D2C8C978">
      <w:start w:val="1"/>
      <w:numFmt w:val="bullet"/>
      <w:lvlText w:val=""/>
      <w:lvlJc w:val="left"/>
      <w:pPr>
        <w:tabs>
          <w:tab w:val="num" w:pos="720"/>
        </w:tabs>
        <w:ind w:left="720" w:hanging="360"/>
      </w:pPr>
      <w:rPr>
        <w:rFonts w:ascii="Symbol" w:hAnsi="Symbol" w:hint="default"/>
      </w:rPr>
    </w:lvl>
    <w:lvl w:ilvl="1" w:tplc="B50AD7A0">
      <w:numFmt w:val="bullet"/>
      <w:lvlText w:val=""/>
      <w:lvlJc w:val="left"/>
      <w:pPr>
        <w:tabs>
          <w:tab w:val="num" w:pos="1440"/>
        </w:tabs>
        <w:ind w:left="1440" w:hanging="360"/>
      </w:pPr>
      <w:rPr>
        <w:rFonts w:ascii="Symbol" w:hAnsi="Symbol" w:hint="default"/>
      </w:rPr>
    </w:lvl>
    <w:lvl w:ilvl="2" w:tplc="98DA91F0" w:tentative="1">
      <w:start w:val="1"/>
      <w:numFmt w:val="bullet"/>
      <w:lvlText w:val=""/>
      <w:lvlJc w:val="left"/>
      <w:pPr>
        <w:tabs>
          <w:tab w:val="num" w:pos="2160"/>
        </w:tabs>
        <w:ind w:left="2160" w:hanging="360"/>
      </w:pPr>
      <w:rPr>
        <w:rFonts w:ascii="Symbol" w:hAnsi="Symbol" w:hint="default"/>
      </w:rPr>
    </w:lvl>
    <w:lvl w:ilvl="3" w:tplc="500C6A3A" w:tentative="1">
      <w:start w:val="1"/>
      <w:numFmt w:val="bullet"/>
      <w:lvlText w:val=""/>
      <w:lvlJc w:val="left"/>
      <w:pPr>
        <w:tabs>
          <w:tab w:val="num" w:pos="2880"/>
        </w:tabs>
        <w:ind w:left="2880" w:hanging="360"/>
      </w:pPr>
      <w:rPr>
        <w:rFonts w:ascii="Symbol" w:hAnsi="Symbol" w:hint="default"/>
      </w:rPr>
    </w:lvl>
    <w:lvl w:ilvl="4" w:tplc="CFAA40E6" w:tentative="1">
      <w:start w:val="1"/>
      <w:numFmt w:val="bullet"/>
      <w:lvlText w:val=""/>
      <w:lvlJc w:val="left"/>
      <w:pPr>
        <w:tabs>
          <w:tab w:val="num" w:pos="3600"/>
        </w:tabs>
        <w:ind w:left="3600" w:hanging="360"/>
      </w:pPr>
      <w:rPr>
        <w:rFonts w:ascii="Symbol" w:hAnsi="Symbol" w:hint="default"/>
      </w:rPr>
    </w:lvl>
    <w:lvl w:ilvl="5" w:tplc="17126074" w:tentative="1">
      <w:start w:val="1"/>
      <w:numFmt w:val="bullet"/>
      <w:lvlText w:val=""/>
      <w:lvlJc w:val="left"/>
      <w:pPr>
        <w:tabs>
          <w:tab w:val="num" w:pos="4320"/>
        </w:tabs>
        <w:ind w:left="4320" w:hanging="360"/>
      </w:pPr>
      <w:rPr>
        <w:rFonts w:ascii="Symbol" w:hAnsi="Symbol" w:hint="default"/>
      </w:rPr>
    </w:lvl>
    <w:lvl w:ilvl="6" w:tplc="A5624050" w:tentative="1">
      <w:start w:val="1"/>
      <w:numFmt w:val="bullet"/>
      <w:lvlText w:val=""/>
      <w:lvlJc w:val="left"/>
      <w:pPr>
        <w:tabs>
          <w:tab w:val="num" w:pos="5040"/>
        </w:tabs>
        <w:ind w:left="5040" w:hanging="360"/>
      </w:pPr>
      <w:rPr>
        <w:rFonts w:ascii="Symbol" w:hAnsi="Symbol" w:hint="default"/>
      </w:rPr>
    </w:lvl>
    <w:lvl w:ilvl="7" w:tplc="8B083A30" w:tentative="1">
      <w:start w:val="1"/>
      <w:numFmt w:val="bullet"/>
      <w:lvlText w:val=""/>
      <w:lvlJc w:val="left"/>
      <w:pPr>
        <w:tabs>
          <w:tab w:val="num" w:pos="5760"/>
        </w:tabs>
        <w:ind w:left="5760" w:hanging="360"/>
      </w:pPr>
      <w:rPr>
        <w:rFonts w:ascii="Symbol" w:hAnsi="Symbol" w:hint="default"/>
      </w:rPr>
    </w:lvl>
    <w:lvl w:ilvl="8" w:tplc="9DDC747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8D1293"/>
    <w:multiLevelType w:val="hybridMultilevel"/>
    <w:tmpl w:val="9CD4E0A6"/>
    <w:lvl w:ilvl="0" w:tplc="04060013">
      <w:start w:val="1"/>
      <w:numFmt w:val="upperRoman"/>
      <w:lvlText w:val="%1."/>
      <w:lvlJc w:val="righ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2" w15:restartNumberingAfterBreak="0">
    <w:nsid w:val="6D20314D"/>
    <w:multiLevelType w:val="hybridMultilevel"/>
    <w:tmpl w:val="17C08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F75FC5"/>
    <w:multiLevelType w:val="hybridMultilevel"/>
    <w:tmpl w:val="B6AC7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272F96"/>
    <w:multiLevelType w:val="hybridMultilevel"/>
    <w:tmpl w:val="B8FAD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F7206"/>
    <w:multiLevelType w:val="hybridMultilevel"/>
    <w:tmpl w:val="48E850D2"/>
    <w:lvl w:ilvl="0" w:tplc="0406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num w:numId="1" w16cid:durableId="1449005248">
    <w:abstractNumId w:val="6"/>
  </w:num>
  <w:num w:numId="2" w16cid:durableId="1640258696">
    <w:abstractNumId w:val="10"/>
  </w:num>
  <w:num w:numId="3" w16cid:durableId="467014447">
    <w:abstractNumId w:val="7"/>
  </w:num>
  <w:num w:numId="4" w16cid:durableId="1426537477">
    <w:abstractNumId w:val="14"/>
  </w:num>
  <w:num w:numId="5" w16cid:durableId="782460259">
    <w:abstractNumId w:val="9"/>
  </w:num>
  <w:num w:numId="6" w16cid:durableId="508787418">
    <w:abstractNumId w:val="13"/>
  </w:num>
  <w:num w:numId="7" w16cid:durableId="1174615065">
    <w:abstractNumId w:val="5"/>
  </w:num>
  <w:num w:numId="8" w16cid:durableId="539781430">
    <w:abstractNumId w:val="15"/>
  </w:num>
  <w:num w:numId="9" w16cid:durableId="1342588474">
    <w:abstractNumId w:val="11"/>
  </w:num>
  <w:num w:numId="10" w16cid:durableId="1192693478">
    <w:abstractNumId w:val="0"/>
  </w:num>
  <w:num w:numId="11" w16cid:durableId="191843615">
    <w:abstractNumId w:val="12"/>
  </w:num>
  <w:num w:numId="12" w16cid:durableId="858280088">
    <w:abstractNumId w:val="4"/>
  </w:num>
  <w:num w:numId="13" w16cid:durableId="403064544">
    <w:abstractNumId w:val="2"/>
  </w:num>
  <w:num w:numId="14" w16cid:durableId="1492058409">
    <w:abstractNumId w:val="3"/>
  </w:num>
  <w:num w:numId="15" w16cid:durableId="752510239">
    <w:abstractNumId w:val="8"/>
  </w:num>
  <w:num w:numId="16" w16cid:durableId="190659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AB"/>
    <w:rsid w:val="00001AC9"/>
    <w:rsid w:val="0000222E"/>
    <w:rsid w:val="000022B3"/>
    <w:rsid w:val="00003D7D"/>
    <w:rsid w:val="000079F6"/>
    <w:rsid w:val="00011D0C"/>
    <w:rsid w:val="00014A17"/>
    <w:rsid w:val="00022DFB"/>
    <w:rsid w:val="000236CA"/>
    <w:rsid w:val="00030212"/>
    <w:rsid w:val="000371A4"/>
    <w:rsid w:val="000374B4"/>
    <w:rsid w:val="000405AF"/>
    <w:rsid w:val="000446EA"/>
    <w:rsid w:val="00053F01"/>
    <w:rsid w:val="0006048C"/>
    <w:rsid w:val="0006087E"/>
    <w:rsid w:val="00061A28"/>
    <w:rsid w:val="00061C84"/>
    <w:rsid w:val="00062B69"/>
    <w:rsid w:val="00062CB2"/>
    <w:rsid w:val="00066CD2"/>
    <w:rsid w:val="00072CD3"/>
    <w:rsid w:val="00074E86"/>
    <w:rsid w:val="00082666"/>
    <w:rsid w:val="00082C8B"/>
    <w:rsid w:val="00085CBC"/>
    <w:rsid w:val="0009110B"/>
    <w:rsid w:val="00093951"/>
    <w:rsid w:val="00096EC1"/>
    <w:rsid w:val="000A258D"/>
    <w:rsid w:val="000A5688"/>
    <w:rsid w:val="000B0F02"/>
    <w:rsid w:val="000B19FC"/>
    <w:rsid w:val="000B435F"/>
    <w:rsid w:val="000B74D9"/>
    <w:rsid w:val="000C4045"/>
    <w:rsid w:val="000C4815"/>
    <w:rsid w:val="000D392B"/>
    <w:rsid w:val="000D3EDF"/>
    <w:rsid w:val="000D60A8"/>
    <w:rsid w:val="000D6E1F"/>
    <w:rsid w:val="000E56F5"/>
    <w:rsid w:val="000F2DC9"/>
    <w:rsid w:val="000F437D"/>
    <w:rsid w:val="000F4614"/>
    <w:rsid w:val="000F4FE6"/>
    <w:rsid w:val="0010054D"/>
    <w:rsid w:val="00101051"/>
    <w:rsid w:val="001039A4"/>
    <w:rsid w:val="001058C4"/>
    <w:rsid w:val="00105D60"/>
    <w:rsid w:val="001064F8"/>
    <w:rsid w:val="001079C4"/>
    <w:rsid w:val="00107A94"/>
    <w:rsid w:val="0011218F"/>
    <w:rsid w:val="001152C7"/>
    <w:rsid w:val="00123FA0"/>
    <w:rsid w:val="00131E0B"/>
    <w:rsid w:val="001351CC"/>
    <w:rsid w:val="00137BCB"/>
    <w:rsid w:val="001407C5"/>
    <w:rsid w:val="00143A72"/>
    <w:rsid w:val="00145BAD"/>
    <w:rsid w:val="00147750"/>
    <w:rsid w:val="00150BAF"/>
    <w:rsid w:val="00151C01"/>
    <w:rsid w:val="001559A8"/>
    <w:rsid w:val="001642AF"/>
    <w:rsid w:val="00165C6D"/>
    <w:rsid w:val="001668FD"/>
    <w:rsid w:val="00173B4E"/>
    <w:rsid w:val="00177609"/>
    <w:rsid w:val="001833BA"/>
    <w:rsid w:val="0019090E"/>
    <w:rsid w:val="00191500"/>
    <w:rsid w:val="00193E77"/>
    <w:rsid w:val="001950F3"/>
    <w:rsid w:val="00197287"/>
    <w:rsid w:val="001A2392"/>
    <w:rsid w:val="001B0A41"/>
    <w:rsid w:val="001B3597"/>
    <w:rsid w:val="001B3B20"/>
    <w:rsid w:val="001B4FC2"/>
    <w:rsid w:val="001B5034"/>
    <w:rsid w:val="001B6184"/>
    <w:rsid w:val="001C0514"/>
    <w:rsid w:val="001C1130"/>
    <w:rsid w:val="001C1FDE"/>
    <w:rsid w:val="001C3B53"/>
    <w:rsid w:val="001C73E8"/>
    <w:rsid w:val="001C7FCD"/>
    <w:rsid w:val="001D23B5"/>
    <w:rsid w:val="001D4BA4"/>
    <w:rsid w:val="001D6218"/>
    <w:rsid w:val="001D6D48"/>
    <w:rsid w:val="001E06FC"/>
    <w:rsid w:val="001E18E1"/>
    <w:rsid w:val="001E4B38"/>
    <w:rsid w:val="001F00EC"/>
    <w:rsid w:val="00206281"/>
    <w:rsid w:val="00210355"/>
    <w:rsid w:val="00212B12"/>
    <w:rsid w:val="00212E4E"/>
    <w:rsid w:val="00215C8B"/>
    <w:rsid w:val="002174AA"/>
    <w:rsid w:val="00231819"/>
    <w:rsid w:val="0023242B"/>
    <w:rsid w:val="0023539A"/>
    <w:rsid w:val="00237D95"/>
    <w:rsid w:val="00240A9E"/>
    <w:rsid w:val="00242538"/>
    <w:rsid w:val="00250978"/>
    <w:rsid w:val="002540A0"/>
    <w:rsid w:val="00260B99"/>
    <w:rsid w:val="00261852"/>
    <w:rsid w:val="002663D8"/>
    <w:rsid w:val="002664A0"/>
    <w:rsid w:val="00267D3F"/>
    <w:rsid w:val="002724FE"/>
    <w:rsid w:val="0027420D"/>
    <w:rsid w:val="00275D30"/>
    <w:rsid w:val="00280A8F"/>
    <w:rsid w:val="00284669"/>
    <w:rsid w:val="0028523A"/>
    <w:rsid w:val="00285CF4"/>
    <w:rsid w:val="00287E27"/>
    <w:rsid w:val="002929C7"/>
    <w:rsid w:val="0029488F"/>
    <w:rsid w:val="002A05B0"/>
    <w:rsid w:val="002A41A6"/>
    <w:rsid w:val="002A4587"/>
    <w:rsid w:val="002A4D09"/>
    <w:rsid w:val="002A4EEB"/>
    <w:rsid w:val="002B28D3"/>
    <w:rsid w:val="002B2BCD"/>
    <w:rsid w:val="002B7A2C"/>
    <w:rsid w:val="002C071C"/>
    <w:rsid w:val="002C44BF"/>
    <w:rsid w:val="002C5F1E"/>
    <w:rsid w:val="002C6C9C"/>
    <w:rsid w:val="002D48C7"/>
    <w:rsid w:val="002D5E12"/>
    <w:rsid w:val="002D7FE0"/>
    <w:rsid w:val="002E49E7"/>
    <w:rsid w:val="002F2F6A"/>
    <w:rsid w:val="002F5714"/>
    <w:rsid w:val="002F5E3F"/>
    <w:rsid w:val="002F63D6"/>
    <w:rsid w:val="002F662C"/>
    <w:rsid w:val="00305735"/>
    <w:rsid w:val="00305C35"/>
    <w:rsid w:val="00314D01"/>
    <w:rsid w:val="003151D6"/>
    <w:rsid w:val="00315D88"/>
    <w:rsid w:val="00315DC9"/>
    <w:rsid w:val="003165CA"/>
    <w:rsid w:val="00324E78"/>
    <w:rsid w:val="00325046"/>
    <w:rsid w:val="00330560"/>
    <w:rsid w:val="0033070A"/>
    <w:rsid w:val="00330825"/>
    <w:rsid w:val="00330AA3"/>
    <w:rsid w:val="0033228C"/>
    <w:rsid w:val="00337DB9"/>
    <w:rsid w:val="0035093B"/>
    <w:rsid w:val="0035159B"/>
    <w:rsid w:val="00351FEF"/>
    <w:rsid w:val="00352EB9"/>
    <w:rsid w:val="003531B1"/>
    <w:rsid w:val="00356A18"/>
    <w:rsid w:val="00357E6C"/>
    <w:rsid w:val="003611F7"/>
    <w:rsid w:val="003616BD"/>
    <w:rsid w:val="003626D6"/>
    <w:rsid w:val="00373318"/>
    <w:rsid w:val="00374169"/>
    <w:rsid w:val="00377369"/>
    <w:rsid w:val="00380CC7"/>
    <w:rsid w:val="00381552"/>
    <w:rsid w:val="0038718E"/>
    <w:rsid w:val="00390CB9"/>
    <w:rsid w:val="0039264E"/>
    <w:rsid w:val="00393AD3"/>
    <w:rsid w:val="00393D35"/>
    <w:rsid w:val="003954C4"/>
    <w:rsid w:val="003956F1"/>
    <w:rsid w:val="003A0803"/>
    <w:rsid w:val="003A1428"/>
    <w:rsid w:val="003A65B7"/>
    <w:rsid w:val="003A67DE"/>
    <w:rsid w:val="003B10A8"/>
    <w:rsid w:val="003B1160"/>
    <w:rsid w:val="003B2879"/>
    <w:rsid w:val="003B3613"/>
    <w:rsid w:val="003C315E"/>
    <w:rsid w:val="003C5362"/>
    <w:rsid w:val="003D2696"/>
    <w:rsid w:val="003E2DD7"/>
    <w:rsid w:val="003E75EE"/>
    <w:rsid w:val="003F0C57"/>
    <w:rsid w:val="003F7883"/>
    <w:rsid w:val="003F7C31"/>
    <w:rsid w:val="004016F4"/>
    <w:rsid w:val="004043A0"/>
    <w:rsid w:val="004065A8"/>
    <w:rsid w:val="00410C62"/>
    <w:rsid w:val="00411D96"/>
    <w:rsid w:val="004147BB"/>
    <w:rsid w:val="004171AE"/>
    <w:rsid w:val="00421CAE"/>
    <w:rsid w:val="00427CC4"/>
    <w:rsid w:val="004318CD"/>
    <w:rsid w:val="00432835"/>
    <w:rsid w:val="00440F04"/>
    <w:rsid w:val="004428F4"/>
    <w:rsid w:val="00451AE7"/>
    <w:rsid w:val="00460B77"/>
    <w:rsid w:val="00470653"/>
    <w:rsid w:val="00472902"/>
    <w:rsid w:val="00474839"/>
    <w:rsid w:val="004751D7"/>
    <w:rsid w:val="004814B8"/>
    <w:rsid w:val="00482BF7"/>
    <w:rsid w:val="00485A0B"/>
    <w:rsid w:val="00486D8C"/>
    <w:rsid w:val="00487F23"/>
    <w:rsid w:val="00490B2F"/>
    <w:rsid w:val="004921C7"/>
    <w:rsid w:val="00494B05"/>
    <w:rsid w:val="004A4984"/>
    <w:rsid w:val="004A7470"/>
    <w:rsid w:val="004B4142"/>
    <w:rsid w:val="004C7BB6"/>
    <w:rsid w:val="004D0998"/>
    <w:rsid w:val="004D0AB3"/>
    <w:rsid w:val="004D36A0"/>
    <w:rsid w:val="004E2757"/>
    <w:rsid w:val="004E2E89"/>
    <w:rsid w:val="004E4025"/>
    <w:rsid w:val="004E7B52"/>
    <w:rsid w:val="004E7C08"/>
    <w:rsid w:val="004E7D7E"/>
    <w:rsid w:val="004F04B4"/>
    <w:rsid w:val="004F4045"/>
    <w:rsid w:val="00500799"/>
    <w:rsid w:val="00504596"/>
    <w:rsid w:val="00513BE5"/>
    <w:rsid w:val="00516DA0"/>
    <w:rsid w:val="005223D1"/>
    <w:rsid w:val="005261AF"/>
    <w:rsid w:val="0053315A"/>
    <w:rsid w:val="00535554"/>
    <w:rsid w:val="005356AE"/>
    <w:rsid w:val="00536959"/>
    <w:rsid w:val="005371B0"/>
    <w:rsid w:val="00540ED1"/>
    <w:rsid w:val="00541D62"/>
    <w:rsid w:val="0054206C"/>
    <w:rsid w:val="00546B8A"/>
    <w:rsid w:val="0055193E"/>
    <w:rsid w:val="005539A3"/>
    <w:rsid w:val="00553C1B"/>
    <w:rsid w:val="005542BC"/>
    <w:rsid w:val="005547AB"/>
    <w:rsid w:val="00557804"/>
    <w:rsid w:val="00564E88"/>
    <w:rsid w:val="00567AB5"/>
    <w:rsid w:val="00570E6B"/>
    <w:rsid w:val="00570F4F"/>
    <w:rsid w:val="005715AF"/>
    <w:rsid w:val="00572FE6"/>
    <w:rsid w:val="00573C54"/>
    <w:rsid w:val="00581C6B"/>
    <w:rsid w:val="005823C8"/>
    <w:rsid w:val="00583FEA"/>
    <w:rsid w:val="00587B2F"/>
    <w:rsid w:val="00596199"/>
    <w:rsid w:val="005A2BF4"/>
    <w:rsid w:val="005A419C"/>
    <w:rsid w:val="005A45BA"/>
    <w:rsid w:val="005B41DF"/>
    <w:rsid w:val="005B6EAB"/>
    <w:rsid w:val="005C2357"/>
    <w:rsid w:val="005C390B"/>
    <w:rsid w:val="005C4F82"/>
    <w:rsid w:val="005D14AA"/>
    <w:rsid w:val="005D4257"/>
    <w:rsid w:val="005E2C29"/>
    <w:rsid w:val="005E75B1"/>
    <w:rsid w:val="005F155F"/>
    <w:rsid w:val="005F2D03"/>
    <w:rsid w:val="005F62B0"/>
    <w:rsid w:val="005F7E87"/>
    <w:rsid w:val="0060150F"/>
    <w:rsid w:val="006036A9"/>
    <w:rsid w:val="00603C14"/>
    <w:rsid w:val="006122E1"/>
    <w:rsid w:val="00612B91"/>
    <w:rsid w:val="00616EB7"/>
    <w:rsid w:val="00617051"/>
    <w:rsid w:val="00620AA8"/>
    <w:rsid w:val="00621C8E"/>
    <w:rsid w:val="00622136"/>
    <w:rsid w:val="006249E5"/>
    <w:rsid w:val="00630971"/>
    <w:rsid w:val="00631ADE"/>
    <w:rsid w:val="00632B09"/>
    <w:rsid w:val="00635C5B"/>
    <w:rsid w:val="00635CF9"/>
    <w:rsid w:val="006376F2"/>
    <w:rsid w:val="00643C0E"/>
    <w:rsid w:val="00645185"/>
    <w:rsid w:val="0064697F"/>
    <w:rsid w:val="00651A5D"/>
    <w:rsid w:val="00651CFE"/>
    <w:rsid w:val="00651D71"/>
    <w:rsid w:val="00652879"/>
    <w:rsid w:val="00655207"/>
    <w:rsid w:val="00656464"/>
    <w:rsid w:val="00667F31"/>
    <w:rsid w:val="006865D6"/>
    <w:rsid w:val="00690AA4"/>
    <w:rsid w:val="00693B73"/>
    <w:rsid w:val="00693F9C"/>
    <w:rsid w:val="00695040"/>
    <w:rsid w:val="00695D68"/>
    <w:rsid w:val="00697CA4"/>
    <w:rsid w:val="006A31F6"/>
    <w:rsid w:val="006A3BB2"/>
    <w:rsid w:val="006A4400"/>
    <w:rsid w:val="006A470D"/>
    <w:rsid w:val="006A4C1E"/>
    <w:rsid w:val="006A530C"/>
    <w:rsid w:val="006A6000"/>
    <w:rsid w:val="006B2ED7"/>
    <w:rsid w:val="006B3701"/>
    <w:rsid w:val="006C3704"/>
    <w:rsid w:val="006C37EC"/>
    <w:rsid w:val="006C4F4B"/>
    <w:rsid w:val="006C602C"/>
    <w:rsid w:val="006D4702"/>
    <w:rsid w:val="006D7A11"/>
    <w:rsid w:val="006E08EC"/>
    <w:rsid w:val="006E5098"/>
    <w:rsid w:val="006E5BF2"/>
    <w:rsid w:val="006F1F47"/>
    <w:rsid w:val="006F2E9A"/>
    <w:rsid w:val="006F6A01"/>
    <w:rsid w:val="007013E0"/>
    <w:rsid w:val="00704D42"/>
    <w:rsid w:val="00706106"/>
    <w:rsid w:val="00707206"/>
    <w:rsid w:val="00711B0B"/>
    <w:rsid w:val="00712C2F"/>
    <w:rsid w:val="00713443"/>
    <w:rsid w:val="007165E9"/>
    <w:rsid w:val="00716945"/>
    <w:rsid w:val="00723FFC"/>
    <w:rsid w:val="00726605"/>
    <w:rsid w:val="007266EE"/>
    <w:rsid w:val="00731163"/>
    <w:rsid w:val="00731436"/>
    <w:rsid w:val="00732979"/>
    <w:rsid w:val="007356E7"/>
    <w:rsid w:val="00735EDB"/>
    <w:rsid w:val="0074450F"/>
    <w:rsid w:val="00754329"/>
    <w:rsid w:val="00760332"/>
    <w:rsid w:val="00761B3D"/>
    <w:rsid w:val="00765476"/>
    <w:rsid w:val="0077143A"/>
    <w:rsid w:val="0077288C"/>
    <w:rsid w:val="00773AA5"/>
    <w:rsid w:val="00773EED"/>
    <w:rsid w:val="00775FA4"/>
    <w:rsid w:val="00776CAE"/>
    <w:rsid w:val="00790EA5"/>
    <w:rsid w:val="00791044"/>
    <w:rsid w:val="00792FA8"/>
    <w:rsid w:val="00793C6E"/>
    <w:rsid w:val="007966D9"/>
    <w:rsid w:val="007A024E"/>
    <w:rsid w:val="007A0513"/>
    <w:rsid w:val="007A4AAB"/>
    <w:rsid w:val="007C272E"/>
    <w:rsid w:val="007D0D04"/>
    <w:rsid w:val="007E0696"/>
    <w:rsid w:val="007F1915"/>
    <w:rsid w:val="007F2650"/>
    <w:rsid w:val="00800465"/>
    <w:rsid w:val="00800903"/>
    <w:rsid w:val="00800B8D"/>
    <w:rsid w:val="008012DA"/>
    <w:rsid w:val="00801CE7"/>
    <w:rsid w:val="008045B6"/>
    <w:rsid w:val="00804C90"/>
    <w:rsid w:val="0080651D"/>
    <w:rsid w:val="00807841"/>
    <w:rsid w:val="0081275F"/>
    <w:rsid w:val="00815E86"/>
    <w:rsid w:val="00820BD6"/>
    <w:rsid w:val="008261CD"/>
    <w:rsid w:val="00831E43"/>
    <w:rsid w:val="00832105"/>
    <w:rsid w:val="008325DF"/>
    <w:rsid w:val="008338A9"/>
    <w:rsid w:val="00835144"/>
    <w:rsid w:val="00835BE4"/>
    <w:rsid w:val="00837AEE"/>
    <w:rsid w:val="00840245"/>
    <w:rsid w:val="00840CDF"/>
    <w:rsid w:val="00843635"/>
    <w:rsid w:val="00846800"/>
    <w:rsid w:val="00846F94"/>
    <w:rsid w:val="00851924"/>
    <w:rsid w:val="00851D51"/>
    <w:rsid w:val="00856FB0"/>
    <w:rsid w:val="0086527D"/>
    <w:rsid w:val="00870502"/>
    <w:rsid w:val="00871690"/>
    <w:rsid w:val="00872285"/>
    <w:rsid w:val="0087310D"/>
    <w:rsid w:val="00873890"/>
    <w:rsid w:val="00873C43"/>
    <w:rsid w:val="008753E3"/>
    <w:rsid w:val="00881114"/>
    <w:rsid w:val="00882630"/>
    <w:rsid w:val="0088397F"/>
    <w:rsid w:val="00887FAE"/>
    <w:rsid w:val="0089145C"/>
    <w:rsid w:val="008953B4"/>
    <w:rsid w:val="008A3A3A"/>
    <w:rsid w:val="008A65A1"/>
    <w:rsid w:val="008A7328"/>
    <w:rsid w:val="008B1E08"/>
    <w:rsid w:val="008B6021"/>
    <w:rsid w:val="008C4C47"/>
    <w:rsid w:val="008C5A84"/>
    <w:rsid w:val="008D1488"/>
    <w:rsid w:val="008D306E"/>
    <w:rsid w:val="008D5795"/>
    <w:rsid w:val="008D70F7"/>
    <w:rsid w:val="008F2B27"/>
    <w:rsid w:val="008F3B21"/>
    <w:rsid w:val="008F5DBE"/>
    <w:rsid w:val="008F6766"/>
    <w:rsid w:val="008F75D0"/>
    <w:rsid w:val="008F7B85"/>
    <w:rsid w:val="009008B5"/>
    <w:rsid w:val="00901FAF"/>
    <w:rsid w:val="00904E4D"/>
    <w:rsid w:val="00907002"/>
    <w:rsid w:val="009106E5"/>
    <w:rsid w:val="0091161C"/>
    <w:rsid w:val="00911941"/>
    <w:rsid w:val="00914CFC"/>
    <w:rsid w:val="00914E15"/>
    <w:rsid w:val="00916682"/>
    <w:rsid w:val="00920D85"/>
    <w:rsid w:val="00925D74"/>
    <w:rsid w:val="00927DD7"/>
    <w:rsid w:val="00931DB9"/>
    <w:rsid w:val="0093563B"/>
    <w:rsid w:val="0093659B"/>
    <w:rsid w:val="00937AF0"/>
    <w:rsid w:val="00940705"/>
    <w:rsid w:val="0094433D"/>
    <w:rsid w:val="009450E3"/>
    <w:rsid w:val="00945EE6"/>
    <w:rsid w:val="00950CFD"/>
    <w:rsid w:val="00955D95"/>
    <w:rsid w:val="00956CDB"/>
    <w:rsid w:val="009609F7"/>
    <w:rsid w:val="0096519F"/>
    <w:rsid w:val="0097050E"/>
    <w:rsid w:val="00977E4D"/>
    <w:rsid w:val="009803E7"/>
    <w:rsid w:val="00983C2C"/>
    <w:rsid w:val="0099281D"/>
    <w:rsid w:val="00993683"/>
    <w:rsid w:val="009A1E87"/>
    <w:rsid w:val="009A4A74"/>
    <w:rsid w:val="009B0171"/>
    <w:rsid w:val="009B1675"/>
    <w:rsid w:val="009B28EC"/>
    <w:rsid w:val="009B3B45"/>
    <w:rsid w:val="009B5062"/>
    <w:rsid w:val="009B5E9A"/>
    <w:rsid w:val="009B64ED"/>
    <w:rsid w:val="009C0011"/>
    <w:rsid w:val="009C085B"/>
    <w:rsid w:val="009C2009"/>
    <w:rsid w:val="009C2920"/>
    <w:rsid w:val="009C7B9C"/>
    <w:rsid w:val="009D46D9"/>
    <w:rsid w:val="009D6D58"/>
    <w:rsid w:val="009E2978"/>
    <w:rsid w:val="009E7B5A"/>
    <w:rsid w:val="00A009BD"/>
    <w:rsid w:val="00A00CF5"/>
    <w:rsid w:val="00A06A91"/>
    <w:rsid w:val="00A1027B"/>
    <w:rsid w:val="00A33E1B"/>
    <w:rsid w:val="00A34611"/>
    <w:rsid w:val="00A356A5"/>
    <w:rsid w:val="00A35A03"/>
    <w:rsid w:val="00A37012"/>
    <w:rsid w:val="00A4054E"/>
    <w:rsid w:val="00A40E6C"/>
    <w:rsid w:val="00A43B53"/>
    <w:rsid w:val="00A54F2F"/>
    <w:rsid w:val="00A55370"/>
    <w:rsid w:val="00A5667B"/>
    <w:rsid w:val="00A62AC4"/>
    <w:rsid w:val="00A67A75"/>
    <w:rsid w:val="00A728C7"/>
    <w:rsid w:val="00A820DA"/>
    <w:rsid w:val="00A824EF"/>
    <w:rsid w:val="00A849C2"/>
    <w:rsid w:val="00A91A15"/>
    <w:rsid w:val="00AA2756"/>
    <w:rsid w:val="00AA31CF"/>
    <w:rsid w:val="00AA37AF"/>
    <w:rsid w:val="00AA4573"/>
    <w:rsid w:val="00AB050E"/>
    <w:rsid w:val="00AB10E2"/>
    <w:rsid w:val="00AB1778"/>
    <w:rsid w:val="00AB5119"/>
    <w:rsid w:val="00AB52D9"/>
    <w:rsid w:val="00AB5794"/>
    <w:rsid w:val="00AB7B76"/>
    <w:rsid w:val="00AC09E8"/>
    <w:rsid w:val="00AC19E0"/>
    <w:rsid w:val="00AC35BC"/>
    <w:rsid w:val="00AC5ED8"/>
    <w:rsid w:val="00AC723B"/>
    <w:rsid w:val="00AD04D6"/>
    <w:rsid w:val="00AD0624"/>
    <w:rsid w:val="00AD0CFD"/>
    <w:rsid w:val="00AD18D8"/>
    <w:rsid w:val="00AD1C93"/>
    <w:rsid w:val="00AD3885"/>
    <w:rsid w:val="00AD5789"/>
    <w:rsid w:val="00AD6086"/>
    <w:rsid w:val="00AD7C6B"/>
    <w:rsid w:val="00AE2418"/>
    <w:rsid w:val="00AE5082"/>
    <w:rsid w:val="00AE65DF"/>
    <w:rsid w:val="00AF0208"/>
    <w:rsid w:val="00AF15AA"/>
    <w:rsid w:val="00AF3D67"/>
    <w:rsid w:val="00AF6AEE"/>
    <w:rsid w:val="00B013B0"/>
    <w:rsid w:val="00B0707D"/>
    <w:rsid w:val="00B10D51"/>
    <w:rsid w:val="00B13418"/>
    <w:rsid w:val="00B20042"/>
    <w:rsid w:val="00B24451"/>
    <w:rsid w:val="00B33548"/>
    <w:rsid w:val="00B3522C"/>
    <w:rsid w:val="00B3685F"/>
    <w:rsid w:val="00B442E1"/>
    <w:rsid w:val="00B4486D"/>
    <w:rsid w:val="00B544DA"/>
    <w:rsid w:val="00B55D4D"/>
    <w:rsid w:val="00B5667D"/>
    <w:rsid w:val="00B653FE"/>
    <w:rsid w:val="00B6555D"/>
    <w:rsid w:val="00B67461"/>
    <w:rsid w:val="00B7316C"/>
    <w:rsid w:val="00B8187D"/>
    <w:rsid w:val="00B865DC"/>
    <w:rsid w:val="00B8696C"/>
    <w:rsid w:val="00B920FB"/>
    <w:rsid w:val="00B92F95"/>
    <w:rsid w:val="00B94C9D"/>
    <w:rsid w:val="00B95245"/>
    <w:rsid w:val="00B95F59"/>
    <w:rsid w:val="00B96BBE"/>
    <w:rsid w:val="00BA0B86"/>
    <w:rsid w:val="00BA13CF"/>
    <w:rsid w:val="00BA5E33"/>
    <w:rsid w:val="00BA7BBF"/>
    <w:rsid w:val="00BB0B12"/>
    <w:rsid w:val="00BB0EA4"/>
    <w:rsid w:val="00BC4CBB"/>
    <w:rsid w:val="00BD04DF"/>
    <w:rsid w:val="00BD16FF"/>
    <w:rsid w:val="00BD2013"/>
    <w:rsid w:val="00BD368C"/>
    <w:rsid w:val="00BD369C"/>
    <w:rsid w:val="00BD3BDA"/>
    <w:rsid w:val="00BD45BA"/>
    <w:rsid w:val="00BD5D1D"/>
    <w:rsid w:val="00BE04DE"/>
    <w:rsid w:val="00BE0F0B"/>
    <w:rsid w:val="00BE1879"/>
    <w:rsid w:val="00BE42BE"/>
    <w:rsid w:val="00BE5B23"/>
    <w:rsid w:val="00BF2B9E"/>
    <w:rsid w:val="00BF2CEC"/>
    <w:rsid w:val="00BF397A"/>
    <w:rsid w:val="00BF3FA1"/>
    <w:rsid w:val="00C01C16"/>
    <w:rsid w:val="00C03E20"/>
    <w:rsid w:val="00C125C3"/>
    <w:rsid w:val="00C14621"/>
    <w:rsid w:val="00C22315"/>
    <w:rsid w:val="00C23A06"/>
    <w:rsid w:val="00C2736D"/>
    <w:rsid w:val="00C33ECB"/>
    <w:rsid w:val="00C340B3"/>
    <w:rsid w:val="00C437AC"/>
    <w:rsid w:val="00C44C81"/>
    <w:rsid w:val="00C44FB2"/>
    <w:rsid w:val="00C52C1C"/>
    <w:rsid w:val="00C554FC"/>
    <w:rsid w:val="00C56F0A"/>
    <w:rsid w:val="00C573B3"/>
    <w:rsid w:val="00C637F9"/>
    <w:rsid w:val="00C66275"/>
    <w:rsid w:val="00C7268A"/>
    <w:rsid w:val="00C7373B"/>
    <w:rsid w:val="00C764DE"/>
    <w:rsid w:val="00C80C33"/>
    <w:rsid w:val="00C82BC9"/>
    <w:rsid w:val="00C849D1"/>
    <w:rsid w:val="00C92236"/>
    <w:rsid w:val="00C93521"/>
    <w:rsid w:val="00C94BF4"/>
    <w:rsid w:val="00C95180"/>
    <w:rsid w:val="00C95FF1"/>
    <w:rsid w:val="00C96CD4"/>
    <w:rsid w:val="00CA1088"/>
    <w:rsid w:val="00CA1C1F"/>
    <w:rsid w:val="00CA4354"/>
    <w:rsid w:val="00CA4589"/>
    <w:rsid w:val="00CA48FA"/>
    <w:rsid w:val="00CB200B"/>
    <w:rsid w:val="00CD7003"/>
    <w:rsid w:val="00CE018A"/>
    <w:rsid w:val="00CE42FC"/>
    <w:rsid w:val="00CF1571"/>
    <w:rsid w:val="00CF53CF"/>
    <w:rsid w:val="00CF608A"/>
    <w:rsid w:val="00CF65A8"/>
    <w:rsid w:val="00D004C7"/>
    <w:rsid w:val="00D009DE"/>
    <w:rsid w:val="00D06BD6"/>
    <w:rsid w:val="00D07CDC"/>
    <w:rsid w:val="00D10B41"/>
    <w:rsid w:val="00D173B5"/>
    <w:rsid w:val="00D314E1"/>
    <w:rsid w:val="00D3467C"/>
    <w:rsid w:val="00D447AD"/>
    <w:rsid w:val="00D571C3"/>
    <w:rsid w:val="00D6544E"/>
    <w:rsid w:val="00D67831"/>
    <w:rsid w:val="00D67B01"/>
    <w:rsid w:val="00D7073B"/>
    <w:rsid w:val="00D754CE"/>
    <w:rsid w:val="00D804AC"/>
    <w:rsid w:val="00D83077"/>
    <w:rsid w:val="00D8496E"/>
    <w:rsid w:val="00D86304"/>
    <w:rsid w:val="00D87637"/>
    <w:rsid w:val="00D905F0"/>
    <w:rsid w:val="00D92AFA"/>
    <w:rsid w:val="00D93CF1"/>
    <w:rsid w:val="00D97DCB"/>
    <w:rsid w:val="00DA462D"/>
    <w:rsid w:val="00DB090C"/>
    <w:rsid w:val="00DB143B"/>
    <w:rsid w:val="00DB2019"/>
    <w:rsid w:val="00DB36B8"/>
    <w:rsid w:val="00DC1DA5"/>
    <w:rsid w:val="00DC385A"/>
    <w:rsid w:val="00DD0B89"/>
    <w:rsid w:val="00DD26E7"/>
    <w:rsid w:val="00DD2B7C"/>
    <w:rsid w:val="00DD3A0A"/>
    <w:rsid w:val="00DD4765"/>
    <w:rsid w:val="00DD4E33"/>
    <w:rsid w:val="00DE0674"/>
    <w:rsid w:val="00DE4424"/>
    <w:rsid w:val="00DE4614"/>
    <w:rsid w:val="00DE637B"/>
    <w:rsid w:val="00DF0398"/>
    <w:rsid w:val="00DF0B65"/>
    <w:rsid w:val="00DF1404"/>
    <w:rsid w:val="00E04C90"/>
    <w:rsid w:val="00E05BB3"/>
    <w:rsid w:val="00E0759E"/>
    <w:rsid w:val="00E13197"/>
    <w:rsid w:val="00E20368"/>
    <w:rsid w:val="00E210D0"/>
    <w:rsid w:val="00E24A12"/>
    <w:rsid w:val="00E30A65"/>
    <w:rsid w:val="00E333E0"/>
    <w:rsid w:val="00E33785"/>
    <w:rsid w:val="00E33D84"/>
    <w:rsid w:val="00E34716"/>
    <w:rsid w:val="00E34879"/>
    <w:rsid w:val="00E40FD6"/>
    <w:rsid w:val="00E41760"/>
    <w:rsid w:val="00E45C67"/>
    <w:rsid w:val="00E461B3"/>
    <w:rsid w:val="00E47C50"/>
    <w:rsid w:val="00E50747"/>
    <w:rsid w:val="00E51BDD"/>
    <w:rsid w:val="00E54361"/>
    <w:rsid w:val="00E54764"/>
    <w:rsid w:val="00E55552"/>
    <w:rsid w:val="00E61B9B"/>
    <w:rsid w:val="00E61DCF"/>
    <w:rsid w:val="00E6328B"/>
    <w:rsid w:val="00E63345"/>
    <w:rsid w:val="00E63F01"/>
    <w:rsid w:val="00E648CE"/>
    <w:rsid w:val="00E64919"/>
    <w:rsid w:val="00E67684"/>
    <w:rsid w:val="00E736F5"/>
    <w:rsid w:val="00E748A1"/>
    <w:rsid w:val="00E81CA6"/>
    <w:rsid w:val="00E828B9"/>
    <w:rsid w:val="00E84A49"/>
    <w:rsid w:val="00E9159D"/>
    <w:rsid w:val="00E929D3"/>
    <w:rsid w:val="00E97120"/>
    <w:rsid w:val="00EA1AE3"/>
    <w:rsid w:val="00EA6BCB"/>
    <w:rsid w:val="00EA6E5B"/>
    <w:rsid w:val="00EB3459"/>
    <w:rsid w:val="00EB34DA"/>
    <w:rsid w:val="00EB7078"/>
    <w:rsid w:val="00EC47CA"/>
    <w:rsid w:val="00EC5140"/>
    <w:rsid w:val="00EC7C7E"/>
    <w:rsid w:val="00ED578A"/>
    <w:rsid w:val="00EE5478"/>
    <w:rsid w:val="00EE6043"/>
    <w:rsid w:val="00EE656E"/>
    <w:rsid w:val="00EF2868"/>
    <w:rsid w:val="00F149D6"/>
    <w:rsid w:val="00F2575E"/>
    <w:rsid w:val="00F27C8D"/>
    <w:rsid w:val="00F32333"/>
    <w:rsid w:val="00F3316B"/>
    <w:rsid w:val="00F37404"/>
    <w:rsid w:val="00F424B3"/>
    <w:rsid w:val="00F467C6"/>
    <w:rsid w:val="00F505CF"/>
    <w:rsid w:val="00F51CAB"/>
    <w:rsid w:val="00F64277"/>
    <w:rsid w:val="00F704A6"/>
    <w:rsid w:val="00F739D9"/>
    <w:rsid w:val="00F76E9F"/>
    <w:rsid w:val="00F80303"/>
    <w:rsid w:val="00F85834"/>
    <w:rsid w:val="00F92528"/>
    <w:rsid w:val="00F92A78"/>
    <w:rsid w:val="00F93E10"/>
    <w:rsid w:val="00F94829"/>
    <w:rsid w:val="00F96529"/>
    <w:rsid w:val="00F9686D"/>
    <w:rsid w:val="00FA136E"/>
    <w:rsid w:val="00FA1A3B"/>
    <w:rsid w:val="00FA6FE1"/>
    <w:rsid w:val="00FA7ECE"/>
    <w:rsid w:val="00FB178B"/>
    <w:rsid w:val="00FB2BA7"/>
    <w:rsid w:val="00FB59D2"/>
    <w:rsid w:val="00FB638A"/>
    <w:rsid w:val="00FC1145"/>
    <w:rsid w:val="00FC7622"/>
    <w:rsid w:val="00FD0C51"/>
    <w:rsid w:val="00FD4788"/>
    <w:rsid w:val="00FE4FE0"/>
    <w:rsid w:val="00FF0E56"/>
    <w:rsid w:val="00FF4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94E6"/>
  <w15:docId w15:val="{C5031585-B39E-45B4-B83E-D902460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5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3-farve3">
    <w:name w:val="Grid Table 3 Accent 3"/>
    <w:basedOn w:val="Tabel-Normal"/>
    <w:uiPriority w:val="48"/>
    <w:rsid w:val="009936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5-mrk-farve3">
    <w:name w:val="Grid Table 5 Dark Accent 3"/>
    <w:basedOn w:val="Tabel-Normal"/>
    <w:uiPriority w:val="50"/>
    <w:rsid w:val="009936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eafsnit">
    <w:name w:val="List Paragraph"/>
    <w:basedOn w:val="Normal"/>
    <w:uiPriority w:val="34"/>
    <w:qFormat/>
    <w:rsid w:val="0091161C"/>
    <w:pPr>
      <w:ind w:left="720"/>
      <w:contextualSpacing/>
    </w:pPr>
  </w:style>
  <w:style w:type="paragraph" w:styleId="Korrektur">
    <w:name w:val="Revision"/>
    <w:hidden/>
    <w:uiPriority w:val="99"/>
    <w:semiHidden/>
    <w:rsid w:val="00E34716"/>
    <w:pPr>
      <w:spacing w:after="0" w:line="240" w:lineRule="auto"/>
    </w:pPr>
  </w:style>
  <w:style w:type="character" w:styleId="Kommentarhenvisning">
    <w:name w:val="annotation reference"/>
    <w:basedOn w:val="Standardskrifttypeiafsnit"/>
    <w:uiPriority w:val="99"/>
    <w:semiHidden/>
    <w:unhideWhenUsed/>
    <w:rsid w:val="00FA6FE1"/>
    <w:rPr>
      <w:sz w:val="16"/>
      <w:szCs w:val="16"/>
    </w:rPr>
  </w:style>
  <w:style w:type="paragraph" w:styleId="Kommentartekst">
    <w:name w:val="annotation text"/>
    <w:basedOn w:val="Normal"/>
    <w:link w:val="KommentartekstTegn"/>
    <w:uiPriority w:val="99"/>
    <w:unhideWhenUsed/>
    <w:rsid w:val="00FA6FE1"/>
    <w:pPr>
      <w:spacing w:line="240" w:lineRule="auto"/>
    </w:pPr>
    <w:rPr>
      <w:sz w:val="20"/>
      <w:szCs w:val="20"/>
    </w:rPr>
  </w:style>
  <w:style w:type="character" w:customStyle="1" w:styleId="KommentartekstTegn">
    <w:name w:val="Kommentartekst Tegn"/>
    <w:basedOn w:val="Standardskrifttypeiafsnit"/>
    <w:link w:val="Kommentartekst"/>
    <w:uiPriority w:val="99"/>
    <w:rsid w:val="00FA6FE1"/>
    <w:rPr>
      <w:sz w:val="20"/>
      <w:szCs w:val="20"/>
    </w:rPr>
  </w:style>
  <w:style w:type="paragraph" w:styleId="Kommentaremne">
    <w:name w:val="annotation subject"/>
    <w:basedOn w:val="Kommentartekst"/>
    <w:next w:val="Kommentartekst"/>
    <w:link w:val="KommentaremneTegn"/>
    <w:uiPriority w:val="99"/>
    <w:semiHidden/>
    <w:unhideWhenUsed/>
    <w:rsid w:val="00FA6FE1"/>
    <w:rPr>
      <w:b/>
      <w:bCs/>
    </w:rPr>
  </w:style>
  <w:style w:type="character" w:customStyle="1" w:styleId="KommentaremneTegn">
    <w:name w:val="Kommentaremne Tegn"/>
    <w:basedOn w:val="KommentartekstTegn"/>
    <w:link w:val="Kommentaremne"/>
    <w:uiPriority w:val="99"/>
    <w:semiHidden/>
    <w:rsid w:val="00FA6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3217">
      <w:bodyDiv w:val="1"/>
      <w:marLeft w:val="0"/>
      <w:marRight w:val="0"/>
      <w:marTop w:val="0"/>
      <w:marBottom w:val="0"/>
      <w:divBdr>
        <w:top w:val="none" w:sz="0" w:space="0" w:color="auto"/>
        <w:left w:val="none" w:sz="0" w:space="0" w:color="auto"/>
        <w:bottom w:val="none" w:sz="0" w:space="0" w:color="auto"/>
        <w:right w:val="none" w:sz="0" w:space="0" w:color="auto"/>
      </w:divBdr>
    </w:div>
    <w:div w:id="1262489424">
      <w:bodyDiv w:val="1"/>
      <w:marLeft w:val="0"/>
      <w:marRight w:val="0"/>
      <w:marTop w:val="0"/>
      <w:marBottom w:val="0"/>
      <w:divBdr>
        <w:top w:val="none" w:sz="0" w:space="0" w:color="auto"/>
        <w:left w:val="none" w:sz="0" w:space="0" w:color="auto"/>
        <w:bottom w:val="none" w:sz="0" w:space="0" w:color="auto"/>
        <w:right w:val="none" w:sz="0" w:space="0" w:color="auto"/>
      </w:divBdr>
      <w:divsChild>
        <w:div w:id="1434210402">
          <w:marLeft w:val="1627"/>
          <w:marRight w:val="0"/>
          <w:marTop w:val="100"/>
          <w:marBottom w:val="0"/>
          <w:divBdr>
            <w:top w:val="none" w:sz="0" w:space="0" w:color="auto"/>
            <w:left w:val="none" w:sz="0" w:space="0" w:color="auto"/>
            <w:bottom w:val="none" w:sz="0" w:space="0" w:color="auto"/>
            <w:right w:val="none" w:sz="0" w:space="0" w:color="auto"/>
          </w:divBdr>
        </w:div>
        <w:div w:id="1524594357">
          <w:marLeft w:val="547"/>
          <w:marRight w:val="0"/>
          <w:marTop w:val="200"/>
          <w:marBottom w:val="0"/>
          <w:divBdr>
            <w:top w:val="none" w:sz="0" w:space="0" w:color="auto"/>
            <w:left w:val="none" w:sz="0" w:space="0" w:color="auto"/>
            <w:bottom w:val="none" w:sz="0" w:space="0" w:color="auto"/>
            <w:right w:val="none" w:sz="0" w:space="0" w:color="auto"/>
          </w:divBdr>
        </w:div>
        <w:div w:id="1949728355">
          <w:marLeft w:val="1627"/>
          <w:marRight w:val="0"/>
          <w:marTop w:val="100"/>
          <w:marBottom w:val="0"/>
          <w:divBdr>
            <w:top w:val="none" w:sz="0" w:space="0" w:color="auto"/>
            <w:left w:val="none" w:sz="0" w:space="0" w:color="auto"/>
            <w:bottom w:val="none" w:sz="0" w:space="0" w:color="auto"/>
            <w:right w:val="none" w:sz="0" w:space="0" w:color="auto"/>
          </w:divBdr>
        </w:div>
        <w:div w:id="2132744693">
          <w:marLeft w:val="1627"/>
          <w:marRight w:val="0"/>
          <w:marTop w:val="100"/>
          <w:marBottom w:val="0"/>
          <w:divBdr>
            <w:top w:val="none" w:sz="0" w:space="0" w:color="auto"/>
            <w:left w:val="none" w:sz="0" w:space="0" w:color="auto"/>
            <w:bottom w:val="none" w:sz="0" w:space="0" w:color="auto"/>
            <w:right w:val="none" w:sz="0" w:space="0" w:color="auto"/>
          </w:divBdr>
        </w:div>
      </w:divsChild>
    </w:div>
    <w:div w:id="1683433655">
      <w:bodyDiv w:val="1"/>
      <w:marLeft w:val="0"/>
      <w:marRight w:val="0"/>
      <w:marTop w:val="0"/>
      <w:marBottom w:val="0"/>
      <w:divBdr>
        <w:top w:val="none" w:sz="0" w:space="0" w:color="auto"/>
        <w:left w:val="none" w:sz="0" w:space="0" w:color="auto"/>
        <w:bottom w:val="none" w:sz="0" w:space="0" w:color="auto"/>
        <w:right w:val="none" w:sz="0" w:space="0" w:color="auto"/>
      </w:divBdr>
    </w:div>
    <w:div w:id="1889299619">
      <w:bodyDiv w:val="1"/>
      <w:marLeft w:val="0"/>
      <w:marRight w:val="0"/>
      <w:marTop w:val="0"/>
      <w:marBottom w:val="0"/>
      <w:divBdr>
        <w:top w:val="none" w:sz="0" w:space="0" w:color="auto"/>
        <w:left w:val="none" w:sz="0" w:space="0" w:color="auto"/>
        <w:bottom w:val="none" w:sz="0" w:space="0" w:color="auto"/>
        <w:right w:val="none" w:sz="0" w:space="0" w:color="auto"/>
      </w:divBdr>
    </w:div>
    <w:div w:id="210221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4395A-3B4C-4581-A7B2-8C2BFAE0F68C}"/>
</file>

<file path=customXml/itemProps2.xml><?xml version="1.0" encoding="utf-8"?>
<ds:datastoreItem xmlns:ds="http://schemas.openxmlformats.org/officeDocument/2006/customXml" ds:itemID="{F31A5FDB-6EDE-4565-A6F4-387AB65A9B57}">
  <ds:schemaRefs>
    <ds:schemaRef ds:uri="http://schemas.microsoft.com/sharepoint/v3/contenttype/forms"/>
  </ds:schemaRefs>
</ds:datastoreItem>
</file>

<file path=customXml/itemProps3.xml><?xml version="1.0" encoding="utf-8"?>
<ds:datastoreItem xmlns:ds="http://schemas.openxmlformats.org/officeDocument/2006/customXml" ds:itemID="{5B972BBE-8C60-4D9E-B394-DAAAA3C3D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2947</Words>
  <Characters>17981</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Stie Laugesen</dc:creator>
  <cp:keywords/>
  <dc:description/>
  <cp:lastModifiedBy>Maj-Britt Jensen - Teknisk</cp:lastModifiedBy>
  <cp:revision>2</cp:revision>
  <cp:lastPrinted>2021-11-12T16:27:00Z</cp:lastPrinted>
  <dcterms:created xsi:type="dcterms:W3CDTF">2022-09-28T06:59:00Z</dcterms:created>
  <dcterms:modified xsi:type="dcterms:W3CDTF">2022-09-28T06:59:00Z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ies>
</file>